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C61B3" w:rsidRDefault="00024F95">
      <w:pPr>
        <w:spacing w:before="160"/>
        <w:ind w:firstLine="0"/>
        <w:jc w:val="center"/>
        <w:rPr>
          <w:b/>
          <w:caps/>
        </w:rPr>
      </w:pPr>
      <w:r>
        <w:rPr>
          <w:noProof/>
        </w:rPr>
        <w:drawing>
          <wp:anchor distT="0" distB="0" distL="114935" distR="114935" simplePos="0" relativeHeight="2" behindDoc="0" locked="0" layoutInCell="0" allowOverlap="1" wp14:anchorId="47DF424D" wp14:editId="5AFF5F29">
            <wp:simplePos x="0" y="0"/>
            <wp:positionH relativeFrom="page">
              <wp:posOffset>3843655</wp:posOffset>
            </wp:positionH>
            <wp:positionV relativeFrom="page">
              <wp:posOffset>720090</wp:posOffset>
            </wp:positionV>
            <wp:extent cx="543560" cy="595630"/>
            <wp:effectExtent l="0" t="0" r="0" b="0"/>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7"/>
                    <a:srcRect l="-66" t="-61" r="-66" b="-61"/>
                    <a:stretch>
                      <a:fillRect/>
                    </a:stretch>
                  </pic:blipFill>
                  <pic:spPr bwMode="auto">
                    <a:xfrm>
                      <a:off x="0" y="0"/>
                      <a:ext cx="543560" cy="595630"/>
                    </a:xfrm>
                    <a:prstGeom prst="rect">
                      <a:avLst/>
                    </a:prstGeom>
                  </pic:spPr>
                </pic:pic>
              </a:graphicData>
            </a:graphic>
          </wp:anchor>
        </w:drawing>
      </w:r>
      <w:r>
        <w:rPr>
          <w:b/>
          <w:caps/>
        </w:rPr>
        <w:t>LIETUVOS RESPUBLIKOS Ekonomikos ir inovacijų MINISTRAS</w:t>
      </w:r>
    </w:p>
    <w:p w:rsidR="00DC61B3" w:rsidRDefault="00DC61B3">
      <w:pPr>
        <w:spacing w:before="160"/>
        <w:ind w:firstLine="0"/>
        <w:jc w:val="center"/>
        <w:rPr>
          <w:b/>
          <w:caps/>
          <w:szCs w:val="24"/>
        </w:rPr>
      </w:pPr>
    </w:p>
    <w:p w:rsidR="00DC61B3" w:rsidRDefault="00024F95">
      <w:pPr>
        <w:ind w:firstLine="0"/>
        <w:jc w:val="center"/>
        <w:rPr>
          <w:b/>
          <w:caps/>
          <w:szCs w:val="24"/>
        </w:rPr>
      </w:pPr>
      <w:r>
        <w:rPr>
          <w:b/>
          <w:caps/>
          <w:szCs w:val="24"/>
        </w:rPr>
        <w:t>įsakymas</w:t>
      </w:r>
    </w:p>
    <w:p w:rsidR="00DC61B3" w:rsidRDefault="00024F95">
      <w:pPr>
        <w:spacing w:line="276" w:lineRule="auto"/>
        <w:ind w:firstLine="0"/>
        <w:jc w:val="center"/>
        <w:rPr>
          <w:b/>
          <w:bCs/>
          <w:szCs w:val="24"/>
          <w:lang w:eastAsia="lt-LT"/>
        </w:rPr>
      </w:pPr>
      <w:r>
        <w:rPr>
          <w:b/>
          <w:bCs/>
          <w:szCs w:val="24"/>
          <w:lang w:eastAsia="lt-LT"/>
        </w:rPr>
        <w:t>DĖL VIEŠOSIOS ĮSTAIGOS INOVACIJŲ AGENTŪROS VADOVO</w:t>
      </w:r>
    </w:p>
    <w:p w:rsidR="00DC61B3" w:rsidRDefault="00024F95">
      <w:pPr>
        <w:spacing w:line="276" w:lineRule="auto"/>
        <w:ind w:firstLine="0"/>
        <w:jc w:val="center"/>
        <w:rPr>
          <w:b/>
          <w:bCs/>
          <w:szCs w:val="24"/>
          <w:lang w:eastAsia="lt-LT"/>
        </w:rPr>
      </w:pPr>
      <w:r>
        <w:rPr>
          <w:b/>
          <w:caps/>
          <w:szCs w:val="24"/>
        </w:rPr>
        <w:t xml:space="preserve">DARBO APMOKĖJIMO SISTEMOS </w:t>
      </w:r>
    </w:p>
    <w:p w:rsidR="00DC61B3" w:rsidRDefault="00024F95">
      <w:pPr>
        <w:ind w:firstLine="0"/>
        <w:jc w:val="center"/>
        <w:rPr>
          <w:szCs w:val="24"/>
          <w:lang w:eastAsia="lt-LT"/>
        </w:rPr>
      </w:pPr>
      <w:r>
        <w:rPr>
          <w:b/>
          <w:bCs/>
          <w:szCs w:val="24"/>
          <w:lang w:eastAsia="lt-LT"/>
        </w:rPr>
        <w:t>APRAŠO PATVIRTINIMO</w:t>
      </w:r>
    </w:p>
    <w:p w:rsidR="00DC61B3" w:rsidRDefault="00DC61B3">
      <w:pPr>
        <w:ind w:firstLine="0"/>
        <w:jc w:val="center"/>
        <w:rPr>
          <w:szCs w:val="24"/>
          <w:lang w:eastAsia="lt-LT"/>
        </w:rPr>
      </w:pPr>
    </w:p>
    <w:p w:rsidR="00DC61B3" w:rsidRDefault="00024F95">
      <w:pPr>
        <w:ind w:firstLine="0"/>
        <w:jc w:val="center"/>
        <w:rPr>
          <w:szCs w:val="24"/>
        </w:rPr>
      </w:pPr>
      <w:r>
        <w:rPr>
          <w:szCs w:val="24"/>
        </w:rPr>
        <w:t xml:space="preserve">2024 m. sausio    d. Nr. </w:t>
      </w:r>
    </w:p>
    <w:p w:rsidR="00DC61B3" w:rsidRDefault="00024F95">
      <w:pPr>
        <w:ind w:firstLine="0"/>
        <w:jc w:val="center"/>
        <w:rPr>
          <w:szCs w:val="24"/>
        </w:rPr>
      </w:pPr>
      <w:r>
        <w:rPr>
          <w:szCs w:val="24"/>
        </w:rPr>
        <w:t>Vilnius</w:t>
      </w:r>
    </w:p>
    <w:p w:rsidR="00DC61B3" w:rsidRDefault="00DC61B3">
      <w:pPr>
        <w:ind w:firstLine="0"/>
        <w:jc w:val="center"/>
        <w:rPr>
          <w:szCs w:val="24"/>
        </w:rPr>
      </w:pPr>
    </w:p>
    <w:p w:rsidR="00DC61B3" w:rsidRDefault="00024F95">
      <w:pPr>
        <w:rPr>
          <w:szCs w:val="24"/>
        </w:rPr>
      </w:pPr>
      <w:r>
        <w:rPr>
          <w:szCs w:val="24"/>
        </w:rPr>
        <w:t>Vadovaudamasi Lietuvos Respublikos viešųjų įstaigų įstatymu, Lietuvos Respublikos viešųjų įstaigų, kurių savininkė arba dalininkė, turinti daugiau negu</w:t>
      </w:r>
      <w:r>
        <w:rPr>
          <w:spacing w:val="1"/>
          <w:szCs w:val="24"/>
        </w:rPr>
        <w:t xml:space="preserve"> </w:t>
      </w:r>
      <w:r>
        <w:rPr>
          <w:szCs w:val="24"/>
        </w:rPr>
        <w:t>pusę</w:t>
      </w:r>
      <w:r>
        <w:rPr>
          <w:spacing w:val="1"/>
          <w:szCs w:val="24"/>
        </w:rPr>
        <w:t xml:space="preserve"> </w:t>
      </w:r>
      <w:r>
        <w:rPr>
          <w:szCs w:val="24"/>
        </w:rPr>
        <w:t>balsų</w:t>
      </w:r>
      <w:r>
        <w:rPr>
          <w:spacing w:val="1"/>
          <w:szCs w:val="24"/>
        </w:rPr>
        <w:t xml:space="preserve"> </w:t>
      </w:r>
      <w:r>
        <w:rPr>
          <w:szCs w:val="24"/>
        </w:rPr>
        <w:t>visuotiniame</w:t>
      </w:r>
      <w:r>
        <w:rPr>
          <w:spacing w:val="1"/>
          <w:szCs w:val="24"/>
        </w:rPr>
        <w:t xml:space="preserve"> </w:t>
      </w:r>
      <w:r>
        <w:rPr>
          <w:szCs w:val="24"/>
        </w:rPr>
        <w:t>dalininkų</w:t>
      </w:r>
      <w:r>
        <w:rPr>
          <w:spacing w:val="1"/>
          <w:szCs w:val="24"/>
        </w:rPr>
        <w:t xml:space="preserve"> </w:t>
      </w:r>
      <w:r>
        <w:rPr>
          <w:szCs w:val="24"/>
        </w:rPr>
        <w:t>susirinkime,</w:t>
      </w:r>
      <w:r>
        <w:rPr>
          <w:spacing w:val="1"/>
          <w:szCs w:val="24"/>
        </w:rPr>
        <w:t xml:space="preserve"> </w:t>
      </w:r>
      <w:r>
        <w:rPr>
          <w:szCs w:val="24"/>
        </w:rPr>
        <w:t>yra</w:t>
      </w:r>
      <w:r>
        <w:rPr>
          <w:spacing w:val="1"/>
          <w:szCs w:val="24"/>
        </w:rPr>
        <w:t xml:space="preserve"> </w:t>
      </w:r>
      <w:r>
        <w:rPr>
          <w:szCs w:val="24"/>
        </w:rPr>
        <w:t>valstybė</w:t>
      </w:r>
      <w:r>
        <w:rPr>
          <w:spacing w:val="1"/>
          <w:szCs w:val="24"/>
        </w:rPr>
        <w:t xml:space="preserve"> </w:t>
      </w:r>
      <w:r>
        <w:rPr>
          <w:szCs w:val="24"/>
        </w:rPr>
        <w:t>ar</w:t>
      </w:r>
      <w:r>
        <w:rPr>
          <w:spacing w:val="1"/>
          <w:szCs w:val="24"/>
        </w:rPr>
        <w:t xml:space="preserve"> </w:t>
      </w:r>
      <w:r>
        <w:rPr>
          <w:szCs w:val="24"/>
        </w:rPr>
        <w:t>savivaldybė,</w:t>
      </w:r>
      <w:r>
        <w:rPr>
          <w:spacing w:val="1"/>
          <w:szCs w:val="24"/>
        </w:rPr>
        <w:t xml:space="preserve"> </w:t>
      </w:r>
      <w:r>
        <w:rPr>
          <w:szCs w:val="24"/>
        </w:rPr>
        <w:t>vadovų</w:t>
      </w:r>
      <w:r>
        <w:rPr>
          <w:spacing w:val="1"/>
          <w:szCs w:val="24"/>
        </w:rPr>
        <w:t xml:space="preserve"> </w:t>
      </w:r>
      <w:r>
        <w:rPr>
          <w:szCs w:val="24"/>
        </w:rPr>
        <w:t>ir</w:t>
      </w:r>
      <w:r>
        <w:rPr>
          <w:spacing w:val="1"/>
          <w:szCs w:val="24"/>
        </w:rPr>
        <w:t xml:space="preserve"> </w:t>
      </w:r>
      <w:r>
        <w:rPr>
          <w:szCs w:val="24"/>
        </w:rPr>
        <w:t xml:space="preserve">darbuotojų darbo apmokėjimo įstatymu ir vykdydama </w:t>
      </w:r>
      <w:r>
        <w:rPr>
          <w:color w:val="000000"/>
          <w:szCs w:val="24"/>
          <w:lang w:eastAsia="lt-LT"/>
        </w:rPr>
        <w:t>Viešosios įstaigos Inovacijų agentūros įstatų, patvirtintų Lietuvos Respublikos ekonomikos ir inovacijų ministro 2022 m. kovo 31 d. įsakymu Nr. 4-522 ,,D</w:t>
      </w:r>
      <w:r>
        <w:rPr>
          <w:szCs w:val="24"/>
          <w:lang w:eastAsia="lt-LT"/>
        </w:rPr>
        <w:t xml:space="preserve">ėl </w:t>
      </w:r>
      <w:r>
        <w:rPr>
          <w:szCs w:val="24"/>
        </w:rPr>
        <w:t xml:space="preserve">VšĮ „Versli Lietuva“ </w:t>
      </w:r>
      <w:r>
        <w:rPr>
          <w:szCs w:val="24"/>
          <w:lang w:eastAsia="lt-LT"/>
        </w:rPr>
        <w:t>reorganizavimo, prijungiant ją prie viešosios įstaigos Lietuvos verslo paramos agentūros ir viešosios įstaigos Lietuvos verslo paramos agentūros pavadinimo keitimo“</w:t>
      </w:r>
      <w:r>
        <w:rPr>
          <w:color w:val="000000"/>
          <w:szCs w:val="24"/>
          <w:lang w:eastAsia="lt-LT"/>
        </w:rPr>
        <w:t>, 34 punktą</w:t>
      </w:r>
      <w:r>
        <w:rPr>
          <w:szCs w:val="24"/>
        </w:rPr>
        <w:t>:</w:t>
      </w:r>
    </w:p>
    <w:p w:rsidR="00DC61B3" w:rsidRDefault="00024F95">
      <w:pPr>
        <w:pStyle w:val="BodyText"/>
        <w:numPr>
          <w:ilvl w:val="0"/>
          <w:numId w:val="2"/>
        </w:numPr>
        <w:tabs>
          <w:tab w:val="left" w:pos="851"/>
          <w:tab w:val="left" w:pos="993"/>
        </w:tabs>
        <w:spacing w:line="276" w:lineRule="auto"/>
        <w:ind w:left="0" w:right="-1" w:firstLine="709"/>
        <w:rPr>
          <w:rFonts w:ascii="Times New Roman" w:hAnsi="Times New Roman" w:cs="Times New Roman"/>
          <w:bCs/>
          <w:szCs w:val="24"/>
          <w:lang w:val="lt-LT" w:eastAsia="lt-LT"/>
        </w:rPr>
      </w:pPr>
      <w:r>
        <w:rPr>
          <w:rFonts w:ascii="Times New Roman" w:hAnsi="Times New Roman" w:cs="Times New Roman"/>
          <w:szCs w:val="24"/>
          <w:lang w:val="lt-LT"/>
        </w:rPr>
        <w:t>P</w:t>
      </w:r>
      <w:r>
        <w:rPr>
          <w:rFonts w:ascii="Times New Roman" w:hAnsi="Times New Roman" w:cs="Times New Roman"/>
          <w:spacing w:val="1"/>
          <w:szCs w:val="24"/>
          <w:lang w:val="lt-LT"/>
        </w:rPr>
        <w:t xml:space="preserve"> </w:t>
      </w:r>
      <w:r>
        <w:rPr>
          <w:rFonts w:ascii="Times New Roman" w:hAnsi="Times New Roman" w:cs="Times New Roman"/>
          <w:szCs w:val="24"/>
          <w:lang w:val="lt-LT"/>
        </w:rPr>
        <w:t>r</w:t>
      </w:r>
      <w:r>
        <w:rPr>
          <w:rFonts w:ascii="Times New Roman" w:hAnsi="Times New Roman" w:cs="Times New Roman"/>
          <w:spacing w:val="1"/>
          <w:szCs w:val="24"/>
          <w:lang w:val="lt-LT"/>
        </w:rPr>
        <w:t xml:space="preserve"> </w:t>
      </w:r>
      <w:r>
        <w:rPr>
          <w:rFonts w:ascii="Times New Roman" w:hAnsi="Times New Roman" w:cs="Times New Roman"/>
          <w:szCs w:val="24"/>
          <w:lang w:val="lt-LT"/>
        </w:rPr>
        <w:t>i</w:t>
      </w:r>
      <w:r>
        <w:rPr>
          <w:rFonts w:ascii="Times New Roman" w:hAnsi="Times New Roman" w:cs="Times New Roman"/>
          <w:spacing w:val="1"/>
          <w:szCs w:val="24"/>
          <w:lang w:val="lt-LT"/>
        </w:rPr>
        <w:t xml:space="preserve"> </w:t>
      </w:r>
      <w:r>
        <w:rPr>
          <w:rFonts w:ascii="Times New Roman" w:hAnsi="Times New Roman" w:cs="Times New Roman"/>
          <w:szCs w:val="24"/>
          <w:lang w:val="lt-LT"/>
        </w:rPr>
        <w:t>s</w:t>
      </w:r>
      <w:r>
        <w:rPr>
          <w:rFonts w:ascii="Times New Roman" w:hAnsi="Times New Roman" w:cs="Times New Roman"/>
          <w:spacing w:val="1"/>
          <w:szCs w:val="24"/>
          <w:lang w:val="lt-LT"/>
        </w:rPr>
        <w:t xml:space="preserve"> </w:t>
      </w:r>
      <w:r>
        <w:rPr>
          <w:rFonts w:ascii="Times New Roman" w:hAnsi="Times New Roman" w:cs="Times New Roman"/>
          <w:szCs w:val="24"/>
          <w:lang w:val="lt-LT"/>
        </w:rPr>
        <w:t>k</w:t>
      </w:r>
      <w:r>
        <w:rPr>
          <w:rFonts w:ascii="Times New Roman" w:hAnsi="Times New Roman" w:cs="Times New Roman"/>
          <w:spacing w:val="1"/>
          <w:szCs w:val="24"/>
          <w:lang w:val="lt-LT"/>
        </w:rPr>
        <w:t xml:space="preserve"> </w:t>
      </w:r>
      <w:r>
        <w:rPr>
          <w:rFonts w:ascii="Times New Roman" w:hAnsi="Times New Roman" w:cs="Times New Roman"/>
          <w:szCs w:val="24"/>
          <w:lang w:val="lt-LT"/>
        </w:rPr>
        <w:t>i</w:t>
      </w:r>
      <w:r>
        <w:rPr>
          <w:rFonts w:ascii="Times New Roman" w:hAnsi="Times New Roman" w:cs="Times New Roman"/>
          <w:spacing w:val="1"/>
          <w:szCs w:val="24"/>
          <w:lang w:val="lt-LT"/>
        </w:rPr>
        <w:t xml:space="preserve"> </w:t>
      </w:r>
      <w:r>
        <w:rPr>
          <w:rFonts w:ascii="Times New Roman" w:hAnsi="Times New Roman" w:cs="Times New Roman"/>
          <w:szCs w:val="24"/>
          <w:lang w:val="lt-LT"/>
        </w:rPr>
        <w:t>r i</w:t>
      </w:r>
      <w:r>
        <w:rPr>
          <w:rFonts w:ascii="Times New Roman" w:hAnsi="Times New Roman" w:cs="Times New Roman"/>
          <w:spacing w:val="1"/>
          <w:szCs w:val="24"/>
          <w:lang w:val="lt-LT"/>
        </w:rPr>
        <w:t xml:space="preserve"> </w:t>
      </w:r>
      <w:r>
        <w:rPr>
          <w:rFonts w:ascii="Times New Roman" w:hAnsi="Times New Roman" w:cs="Times New Roman"/>
          <w:szCs w:val="24"/>
          <w:lang w:val="lt-LT"/>
        </w:rPr>
        <w:t>u</w:t>
      </w:r>
      <w:r>
        <w:rPr>
          <w:rFonts w:ascii="Times New Roman" w:hAnsi="Times New Roman" w:cs="Times New Roman"/>
          <w:spacing w:val="1"/>
          <w:szCs w:val="24"/>
          <w:lang w:val="lt-LT"/>
        </w:rPr>
        <w:t xml:space="preserve"> </w:t>
      </w:r>
      <w:r>
        <w:rPr>
          <w:rFonts w:ascii="Times New Roman" w:hAnsi="Times New Roman" w:cs="Times New Roman"/>
          <w:szCs w:val="24"/>
          <w:lang w:val="lt-LT"/>
        </w:rPr>
        <w:t>viešąją įstaigą</w:t>
      </w:r>
      <w:r>
        <w:rPr>
          <w:rFonts w:ascii="Times New Roman" w:hAnsi="Times New Roman" w:cs="Times New Roman"/>
          <w:spacing w:val="1"/>
          <w:szCs w:val="24"/>
          <w:lang w:val="lt-LT"/>
        </w:rPr>
        <w:t xml:space="preserve"> </w:t>
      </w:r>
      <w:r>
        <w:rPr>
          <w:rFonts w:ascii="Times New Roman" w:hAnsi="Times New Roman" w:cs="Times New Roman"/>
          <w:szCs w:val="24"/>
          <w:lang w:val="lt-LT"/>
        </w:rPr>
        <w:t>Inovacijų agentūrą I viešosios įstaigos kategorijai,</w:t>
      </w:r>
      <w:r>
        <w:rPr>
          <w:rFonts w:ascii="Times New Roman" w:hAnsi="Times New Roman" w:cs="Times New Roman"/>
          <w:bCs/>
          <w:szCs w:val="24"/>
          <w:lang w:val="lt-LT" w:eastAsia="lt-LT"/>
        </w:rPr>
        <w:t xml:space="preserve"> </w:t>
      </w:r>
      <w:bookmarkStart w:id="0" w:name="_Hlk156918851"/>
      <w:r>
        <w:rPr>
          <w:rFonts w:ascii="Times New Roman" w:hAnsi="Times New Roman" w:cs="Times New Roman"/>
          <w:bCs/>
          <w:szCs w:val="24"/>
          <w:lang w:val="lt-LT" w:eastAsia="lt-LT"/>
        </w:rPr>
        <w:t>atsižvelgdama į jos turimus viešojo administravimo įgaliojimus.</w:t>
      </w:r>
    </w:p>
    <w:bookmarkEnd w:id="0"/>
    <w:p w:rsidR="00DC61B3" w:rsidRDefault="00024F95">
      <w:pPr>
        <w:pStyle w:val="BodyText"/>
        <w:numPr>
          <w:ilvl w:val="0"/>
          <w:numId w:val="2"/>
        </w:numPr>
        <w:tabs>
          <w:tab w:val="left" w:pos="851"/>
          <w:tab w:val="left" w:pos="993"/>
          <w:tab w:val="left" w:pos="1276"/>
        </w:tabs>
        <w:spacing w:line="276" w:lineRule="auto"/>
        <w:ind w:left="0" w:right="-1" w:firstLine="709"/>
        <w:rPr>
          <w:rFonts w:ascii="Times New Roman" w:hAnsi="Times New Roman" w:cs="Times New Roman"/>
          <w:szCs w:val="24"/>
          <w:lang w:val="lt-LT"/>
        </w:rPr>
      </w:pPr>
      <w:r>
        <w:rPr>
          <w:rFonts w:ascii="Times New Roman" w:hAnsi="Times New Roman" w:cs="Times New Roman"/>
          <w:szCs w:val="24"/>
          <w:lang w:val="lt-LT"/>
        </w:rPr>
        <w:t>T</w:t>
      </w:r>
      <w:r>
        <w:rPr>
          <w:rFonts w:ascii="Times New Roman" w:hAnsi="Times New Roman" w:cs="Times New Roman"/>
          <w:spacing w:val="1"/>
          <w:szCs w:val="24"/>
          <w:lang w:val="lt-LT"/>
        </w:rPr>
        <w:t xml:space="preserve"> </w:t>
      </w:r>
      <w:r>
        <w:rPr>
          <w:rFonts w:ascii="Times New Roman" w:hAnsi="Times New Roman" w:cs="Times New Roman"/>
          <w:szCs w:val="24"/>
          <w:lang w:val="lt-LT"/>
        </w:rPr>
        <w:t>v</w:t>
      </w:r>
      <w:r>
        <w:rPr>
          <w:rFonts w:ascii="Times New Roman" w:hAnsi="Times New Roman" w:cs="Times New Roman"/>
          <w:spacing w:val="1"/>
          <w:szCs w:val="24"/>
          <w:lang w:val="lt-LT"/>
        </w:rPr>
        <w:t xml:space="preserve"> </w:t>
      </w:r>
      <w:r>
        <w:rPr>
          <w:rFonts w:ascii="Times New Roman" w:hAnsi="Times New Roman" w:cs="Times New Roman"/>
          <w:szCs w:val="24"/>
          <w:lang w:val="lt-LT"/>
        </w:rPr>
        <w:t>i</w:t>
      </w:r>
      <w:r>
        <w:rPr>
          <w:rFonts w:ascii="Times New Roman" w:hAnsi="Times New Roman" w:cs="Times New Roman"/>
          <w:spacing w:val="1"/>
          <w:szCs w:val="24"/>
          <w:lang w:val="lt-LT"/>
        </w:rPr>
        <w:t xml:space="preserve"> </w:t>
      </w:r>
      <w:r>
        <w:rPr>
          <w:rFonts w:ascii="Times New Roman" w:hAnsi="Times New Roman" w:cs="Times New Roman"/>
          <w:szCs w:val="24"/>
          <w:lang w:val="lt-LT"/>
        </w:rPr>
        <w:t>r</w:t>
      </w:r>
      <w:r>
        <w:rPr>
          <w:rFonts w:ascii="Times New Roman" w:hAnsi="Times New Roman" w:cs="Times New Roman"/>
          <w:spacing w:val="1"/>
          <w:szCs w:val="24"/>
          <w:lang w:val="lt-LT"/>
        </w:rPr>
        <w:t xml:space="preserve"> </w:t>
      </w:r>
      <w:r>
        <w:rPr>
          <w:rFonts w:ascii="Times New Roman" w:hAnsi="Times New Roman" w:cs="Times New Roman"/>
          <w:szCs w:val="24"/>
          <w:lang w:val="lt-LT"/>
        </w:rPr>
        <w:t>t</w:t>
      </w:r>
      <w:r>
        <w:rPr>
          <w:rFonts w:ascii="Times New Roman" w:hAnsi="Times New Roman" w:cs="Times New Roman"/>
          <w:spacing w:val="1"/>
          <w:szCs w:val="24"/>
          <w:lang w:val="lt-LT"/>
        </w:rPr>
        <w:t xml:space="preserve"> </w:t>
      </w:r>
      <w:r>
        <w:rPr>
          <w:rFonts w:ascii="Times New Roman" w:hAnsi="Times New Roman" w:cs="Times New Roman"/>
          <w:szCs w:val="24"/>
          <w:lang w:val="lt-LT"/>
        </w:rPr>
        <w:t>i</w:t>
      </w:r>
      <w:r>
        <w:rPr>
          <w:rFonts w:ascii="Times New Roman" w:hAnsi="Times New Roman" w:cs="Times New Roman"/>
          <w:spacing w:val="1"/>
          <w:szCs w:val="24"/>
          <w:lang w:val="lt-LT"/>
        </w:rPr>
        <w:t xml:space="preserve"> </w:t>
      </w:r>
      <w:r>
        <w:rPr>
          <w:rFonts w:ascii="Times New Roman" w:hAnsi="Times New Roman" w:cs="Times New Roman"/>
          <w:szCs w:val="24"/>
          <w:lang w:val="lt-LT"/>
        </w:rPr>
        <w:t>n</w:t>
      </w:r>
      <w:r>
        <w:rPr>
          <w:rFonts w:ascii="Times New Roman" w:hAnsi="Times New Roman" w:cs="Times New Roman"/>
          <w:spacing w:val="1"/>
          <w:szCs w:val="24"/>
          <w:lang w:val="lt-LT"/>
        </w:rPr>
        <w:t xml:space="preserve"> </w:t>
      </w:r>
      <w:r>
        <w:rPr>
          <w:rFonts w:ascii="Times New Roman" w:hAnsi="Times New Roman" w:cs="Times New Roman"/>
          <w:szCs w:val="24"/>
          <w:lang w:val="lt-LT"/>
        </w:rPr>
        <w:t>u</w:t>
      </w:r>
      <w:r>
        <w:rPr>
          <w:rFonts w:ascii="Times New Roman" w:hAnsi="Times New Roman" w:cs="Times New Roman"/>
          <w:spacing w:val="1"/>
          <w:szCs w:val="24"/>
          <w:lang w:val="lt-LT"/>
        </w:rPr>
        <w:t xml:space="preserve"> </w:t>
      </w:r>
      <w:r>
        <w:rPr>
          <w:rFonts w:ascii="Times New Roman" w:hAnsi="Times New Roman" w:cs="Times New Roman"/>
          <w:szCs w:val="24"/>
          <w:lang w:val="lt-LT"/>
        </w:rPr>
        <w:t>Viešosios</w:t>
      </w:r>
      <w:r>
        <w:rPr>
          <w:rFonts w:ascii="Times New Roman" w:hAnsi="Times New Roman" w:cs="Times New Roman"/>
          <w:spacing w:val="1"/>
          <w:szCs w:val="24"/>
          <w:lang w:val="lt-LT"/>
        </w:rPr>
        <w:t xml:space="preserve"> </w:t>
      </w:r>
      <w:r>
        <w:rPr>
          <w:rFonts w:ascii="Times New Roman" w:hAnsi="Times New Roman" w:cs="Times New Roman"/>
          <w:szCs w:val="24"/>
          <w:lang w:val="lt-LT"/>
        </w:rPr>
        <w:t>įstaigos</w:t>
      </w:r>
      <w:r>
        <w:rPr>
          <w:rFonts w:ascii="Times New Roman" w:hAnsi="Times New Roman" w:cs="Times New Roman"/>
          <w:spacing w:val="1"/>
          <w:szCs w:val="24"/>
          <w:lang w:val="lt-LT"/>
        </w:rPr>
        <w:t xml:space="preserve"> </w:t>
      </w:r>
      <w:r>
        <w:rPr>
          <w:rFonts w:ascii="Times New Roman" w:hAnsi="Times New Roman" w:cs="Times New Roman"/>
          <w:szCs w:val="24"/>
          <w:lang w:val="lt-LT"/>
        </w:rPr>
        <w:t>Inovacijų agentūros vadovo</w:t>
      </w:r>
      <w:r>
        <w:rPr>
          <w:rFonts w:ascii="Times New Roman" w:hAnsi="Times New Roman" w:cs="Times New Roman"/>
          <w:spacing w:val="-1"/>
          <w:szCs w:val="24"/>
          <w:lang w:val="lt-LT"/>
        </w:rPr>
        <w:t xml:space="preserve"> </w:t>
      </w:r>
      <w:r>
        <w:rPr>
          <w:rFonts w:ascii="Times New Roman" w:hAnsi="Times New Roman" w:cs="Times New Roman"/>
          <w:szCs w:val="24"/>
          <w:lang w:val="lt-LT"/>
        </w:rPr>
        <w:t>darbo</w:t>
      </w:r>
      <w:r>
        <w:rPr>
          <w:rFonts w:ascii="Times New Roman" w:hAnsi="Times New Roman" w:cs="Times New Roman"/>
          <w:spacing w:val="1"/>
          <w:szCs w:val="24"/>
          <w:lang w:val="lt-LT"/>
        </w:rPr>
        <w:t xml:space="preserve"> </w:t>
      </w:r>
      <w:r>
        <w:rPr>
          <w:rFonts w:ascii="Times New Roman" w:hAnsi="Times New Roman" w:cs="Times New Roman"/>
          <w:szCs w:val="24"/>
          <w:lang w:val="lt-LT"/>
        </w:rPr>
        <w:t>apmokėjimo sistemos aprašą</w:t>
      </w:r>
      <w:r>
        <w:rPr>
          <w:rFonts w:ascii="Times New Roman" w:hAnsi="Times New Roman" w:cs="Times New Roman"/>
          <w:spacing w:val="-1"/>
          <w:szCs w:val="24"/>
          <w:lang w:val="lt-LT"/>
        </w:rPr>
        <w:t xml:space="preserve"> </w:t>
      </w:r>
      <w:r>
        <w:rPr>
          <w:rFonts w:ascii="Times New Roman" w:hAnsi="Times New Roman" w:cs="Times New Roman"/>
          <w:szCs w:val="24"/>
          <w:lang w:val="lt-LT"/>
        </w:rPr>
        <w:t>(pridedama).</w:t>
      </w:r>
    </w:p>
    <w:p w:rsidR="00DC61B3" w:rsidRDefault="00024F95">
      <w:pPr>
        <w:pStyle w:val="ListParagraph"/>
        <w:numPr>
          <w:ilvl w:val="0"/>
          <w:numId w:val="2"/>
        </w:numPr>
        <w:tabs>
          <w:tab w:val="left" w:pos="851"/>
          <w:tab w:val="left" w:pos="993"/>
          <w:tab w:val="left" w:pos="1276"/>
        </w:tabs>
        <w:ind w:left="0" w:firstLine="709"/>
        <w:rPr>
          <w:sz w:val="24"/>
          <w:szCs w:val="24"/>
        </w:rPr>
      </w:pPr>
      <w:r>
        <w:rPr>
          <w:sz w:val="24"/>
          <w:szCs w:val="24"/>
        </w:rPr>
        <w:t>P r i p a ž į s t u</w:t>
      </w:r>
      <w:r>
        <w:rPr>
          <w:spacing w:val="1"/>
          <w:sz w:val="24"/>
          <w:szCs w:val="24"/>
        </w:rPr>
        <w:t xml:space="preserve"> </w:t>
      </w:r>
      <w:r>
        <w:rPr>
          <w:sz w:val="24"/>
          <w:szCs w:val="24"/>
        </w:rPr>
        <w:t xml:space="preserve">netekusiu galios Lietuvos Respublikos ekonomikos ir inovacijų ministro 2022 m. balandžio 27 d. įsakymą Nr.  4-662 ,,Dėl </w:t>
      </w:r>
      <w:r>
        <w:rPr>
          <w:bCs/>
          <w:sz w:val="24"/>
          <w:szCs w:val="24"/>
          <w:lang w:eastAsia="lt-LT"/>
        </w:rPr>
        <w:t xml:space="preserve">Viešosios įstaigos Inovacijų agentūros vadovo darbo apmokėjimo tvarkos aprašo patvirtinimo“. </w:t>
      </w:r>
    </w:p>
    <w:p w:rsidR="00DC61B3" w:rsidRDefault="00DC61B3">
      <w:pPr>
        <w:rPr>
          <w:szCs w:val="24"/>
        </w:rPr>
      </w:pPr>
    </w:p>
    <w:p w:rsidR="00DC61B3" w:rsidRDefault="00DC61B3">
      <w:pPr>
        <w:rPr>
          <w:szCs w:val="24"/>
        </w:rPr>
      </w:pPr>
    </w:p>
    <w:p w:rsidR="00DC61B3" w:rsidRDefault="00DC61B3">
      <w:pPr>
        <w:rPr>
          <w:szCs w:val="24"/>
        </w:rPr>
      </w:pPr>
    </w:p>
    <w:p w:rsidR="00DC61B3" w:rsidRDefault="00024F95">
      <w:pPr>
        <w:ind w:firstLine="0"/>
        <w:rPr>
          <w:szCs w:val="24"/>
        </w:rPr>
      </w:pPr>
      <w:r>
        <w:rPr>
          <w:szCs w:val="24"/>
        </w:rPr>
        <w:t xml:space="preserve">Ekonomikos ir inovacijų ministrė </w:t>
      </w:r>
      <w:r>
        <w:rPr>
          <w:szCs w:val="24"/>
        </w:rPr>
        <w:tab/>
      </w:r>
      <w:r>
        <w:rPr>
          <w:szCs w:val="24"/>
        </w:rPr>
        <w:tab/>
      </w:r>
      <w:r>
        <w:rPr>
          <w:szCs w:val="24"/>
        </w:rPr>
        <w:tab/>
      </w:r>
      <w:r>
        <w:rPr>
          <w:szCs w:val="24"/>
        </w:rPr>
        <w:tab/>
      </w:r>
      <w:r>
        <w:rPr>
          <w:szCs w:val="24"/>
        </w:rPr>
        <w:tab/>
      </w:r>
      <w:r>
        <w:rPr>
          <w:szCs w:val="24"/>
        </w:rPr>
        <w:tab/>
        <w:t xml:space="preserve">         Aušrinė Armonaitė </w:t>
      </w:r>
    </w:p>
    <w:p w:rsidR="00DC61B3" w:rsidRDefault="00DC61B3">
      <w:pPr>
        <w:ind w:firstLine="0"/>
        <w:rPr>
          <w:szCs w:val="24"/>
        </w:rPr>
      </w:pPr>
    </w:p>
    <w:p w:rsidR="00DC61B3" w:rsidRDefault="00DC61B3">
      <w:pPr>
        <w:rPr>
          <w:szCs w:val="24"/>
        </w:rPr>
      </w:pPr>
    </w:p>
    <w:p w:rsidR="00DC61B3" w:rsidRDefault="00DC61B3">
      <w:pPr>
        <w:rPr>
          <w:szCs w:val="24"/>
        </w:rPr>
      </w:pPr>
    </w:p>
    <w:p w:rsidR="00DC61B3" w:rsidRDefault="00DC61B3">
      <w:pPr>
        <w:ind w:firstLine="0"/>
        <w:rPr>
          <w:szCs w:val="24"/>
        </w:rPr>
      </w:pPr>
    </w:p>
    <w:p w:rsidR="00DC61B3" w:rsidRDefault="00DC61B3">
      <w:pPr>
        <w:ind w:firstLine="0"/>
        <w:rPr>
          <w:szCs w:val="24"/>
        </w:rPr>
      </w:pPr>
    </w:p>
    <w:p w:rsidR="00DC61B3" w:rsidRDefault="00DC61B3">
      <w:pPr>
        <w:ind w:firstLine="0"/>
        <w:rPr>
          <w:szCs w:val="24"/>
        </w:rPr>
      </w:pPr>
    </w:p>
    <w:p w:rsidR="00DC61B3" w:rsidRDefault="00DC61B3">
      <w:pPr>
        <w:ind w:firstLine="0"/>
        <w:rPr>
          <w:szCs w:val="24"/>
        </w:rPr>
      </w:pPr>
    </w:p>
    <w:p w:rsidR="00DC61B3" w:rsidRDefault="00DC61B3">
      <w:pPr>
        <w:ind w:firstLine="0"/>
        <w:rPr>
          <w:szCs w:val="24"/>
        </w:rPr>
      </w:pPr>
    </w:p>
    <w:p w:rsidR="00DC61B3" w:rsidRDefault="00DC61B3">
      <w:pPr>
        <w:ind w:firstLine="0"/>
        <w:rPr>
          <w:szCs w:val="24"/>
        </w:rPr>
      </w:pPr>
    </w:p>
    <w:p w:rsidR="00DC61B3" w:rsidRDefault="00DC61B3">
      <w:pPr>
        <w:ind w:firstLine="0"/>
        <w:rPr>
          <w:szCs w:val="24"/>
        </w:rPr>
      </w:pPr>
    </w:p>
    <w:p w:rsidR="00DC61B3" w:rsidRDefault="00DC61B3">
      <w:pPr>
        <w:ind w:firstLine="0"/>
        <w:rPr>
          <w:szCs w:val="24"/>
        </w:rPr>
      </w:pPr>
    </w:p>
    <w:p w:rsidR="00DC61B3" w:rsidRDefault="00DC61B3">
      <w:pPr>
        <w:ind w:firstLine="0"/>
        <w:rPr>
          <w:szCs w:val="24"/>
        </w:rPr>
      </w:pPr>
    </w:p>
    <w:p w:rsidR="00DC61B3" w:rsidRDefault="00DC61B3">
      <w:pPr>
        <w:ind w:firstLine="0"/>
        <w:rPr>
          <w:szCs w:val="24"/>
        </w:rPr>
      </w:pPr>
    </w:p>
    <w:p w:rsidR="00DC61B3" w:rsidRDefault="00024F95">
      <w:pPr>
        <w:ind w:firstLine="0"/>
        <w:rPr>
          <w:sz w:val="20"/>
        </w:rPr>
      </w:pPr>
      <w:r>
        <w:rPr>
          <w:sz w:val="20"/>
        </w:rPr>
        <w:t>Parengė</w:t>
      </w:r>
    </w:p>
    <w:p w:rsidR="00DC61B3" w:rsidRDefault="00024F95">
      <w:pPr>
        <w:ind w:firstLine="0"/>
        <w:rPr>
          <w:sz w:val="20"/>
        </w:rPr>
      </w:pPr>
      <w:r>
        <w:rPr>
          <w:sz w:val="20"/>
        </w:rPr>
        <w:t xml:space="preserve">Ekonomikos ir inovacijų ministerijos </w:t>
      </w:r>
    </w:p>
    <w:p w:rsidR="00DC61B3" w:rsidRDefault="00024F95">
      <w:pPr>
        <w:ind w:firstLine="0"/>
        <w:rPr>
          <w:sz w:val="20"/>
        </w:rPr>
      </w:pPr>
      <w:r>
        <w:rPr>
          <w:sz w:val="20"/>
        </w:rPr>
        <w:t>Inovacijų ir pramonės departamento</w:t>
      </w:r>
    </w:p>
    <w:p w:rsidR="00DC61B3" w:rsidRDefault="00024F95">
      <w:pPr>
        <w:ind w:firstLine="0"/>
        <w:rPr>
          <w:sz w:val="20"/>
        </w:rPr>
      </w:pPr>
      <w:r>
        <w:rPr>
          <w:sz w:val="20"/>
        </w:rPr>
        <w:t>Verslo ir mokslo bendradarbiavimo skyriaus vedėja</w:t>
      </w:r>
    </w:p>
    <w:p w:rsidR="00DC61B3" w:rsidRDefault="00DC61B3">
      <w:pPr>
        <w:ind w:firstLine="0"/>
        <w:rPr>
          <w:sz w:val="20"/>
        </w:rPr>
      </w:pPr>
    </w:p>
    <w:p w:rsidR="00DC61B3" w:rsidRDefault="00024F95">
      <w:pPr>
        <w:ind w:firstLine="0"/>
        <w:rPr>
          <w:sz w:val="20"/>
        </w:rPr>
      </w:pPr>
      <w:r>
        <w:rPr>
          <w:sz w:val="20"/>
        </w:rPr>
        <w:t>Renata Lygienė</w:t>
      </w:r>
    </w:p>
    <w:p w:rsidR="00DC61B3" w:rsidRDefault="00DC61B3">
      <w:pPr>
        <w:jc w:val="center"/>
        <w:rPr>
          <w:sz w:val="20"/>
        </w:rPr>
        <w:sectPr w:rsidR="00DC61B3" w:rsidSect="00024F95">
          <w:headerReference w:type="default" r:id="rId8"/>
          <w:headerReference w:type="first" r:id="rId9"/>
          <w:pgSz w:w="11906" w:h="16838"/>
          <w:pgMar w:top="1134" w:right="566" w:bottom="1134" w:left="1701" w:header="720" w:footer="0" w:gutter="0"/>
          <w:pgNumType w:start="1"/>
          <w:cols w:space="1296"/>
          <w:formProt w:val="0"/>
          <w:titlePg/>
          <w:docGrid w:linePitch="600" w:charSpace="32768"/>
        </w:sectPr>
      </w:pPr>
    </w:p>
    <w:p w:rsidR="00DC61B3" w:rsidRDefault="00024F95">
      <w:pPr>
        <w:ind w:left="4320" w:firstLine="1209"/>
        <w:rPr>
          <w:szCs w:val="24"/>
        </w:rPr>
      </w:pPr>
      <w:r>
        <w:rPr>
          <w:szCs w:val="24"/>
        </w:rPr>
        <w:t>PATVIRTINTA</w:t>
      </w:r>
    </w:p>
    <w:p w:rsidR="00DC61B3" w:rsidRDefault="00024F95">
      <w:pPr>
        <w:ind w:left="5529" w:firstLine="0"/>
        <w:rPr>
          <w:szCs w:val="24"/>
        </w:rPr>
      </w:pPr>
      <w:r>
        <w:rPr>
          <w:szCs w:val="24"/>
        </w:rPr>
        <w:t>Lietuvos Respublikos</w:t>
      </w:r>
    </w:p>
    <w:p w:rsidR="00DC61B3" w:rsidRDefault="00024F95">
      <w:pPr>
        <w:ind w:left="5529" w:firstLine="0"/>
        <w:rPr>
          <w:szCs w:val="24"/>
        </w:rPr>
      </w:pPr>
      <w:r>
        <w:rPr>
          <w:szCs w:val="24"/>
        </w:rPr>
        <w:t>ekonomikos ir inovacijų ministro</w:t>
      </w:r>
    </w:p>
    <w:p w:rsidR="00DC61B3" w:rsidRDefault="00024F95">
      <w:pPr>
        <w:ind w:left="3600"/>
        <w:jc w:val="center"/>
        <w:rPr>
          <w:b/>
          <w:bCs/>
          <w:szCs w:val="24"/>
        </w:rPr>
      </w:pPr>
      <w:r>
        <w:rPr>
          <w:szCs w:val="24"/>
        </w:rPr>
        <w:t xml:space="preserve">     2024 m. sausio     d. įsakymu Nr.</w:t>
      </w:r>
    </w:p>
    <w:p w:rsidR="00DC61B3" w:rsidRDefault="00DC61B3">
      <w:pPr>
        <w:ind w:firstLine="0"/>
        <w:jc w:val="center"/>
        <w:rPr>
          <w:b/>
          <w:bCs/>
          <w:szCs w:val="24"/>
        </w:rPr>
      </w:pPr>
    </w:p>
    <w:p w:rsidR="00DC61B3" w:rsidRDefault="00DC61B3">
      <w:pPr>
        <w:ind w:firstLine="0"/>
        <w:rPr>
          <w:b/>
          <w:bCs/>
          <w:szCs w:val="24"/>
        </w:rPr>
      </w:pPr>
    </w:p>
    <w:p w:rsidR="00DC61B3" w:rsidRDefault="00DC61B3">
      <w:pPr>
        <w:ind w:firstLine="0"/>
        <w:jc w:val="center"/>
        <w:rPr>
          <w:b/>
          <w:bCs/>
          <w:szCs w:val="24"/>
        </w:rPr>
      </w:pPr>
    </w:p>
    <w:p w:rsidR="00DC61B3" w:rsidRDefault="00024F95">
      <w:pPr>
        <w:ind w:firstLine="0"/>
        <w:jc w:val="center"/>
        <w:rPr>
          <w:szCs w:val="24"/>
        </w:rPr>
      </w:pPr>
      <w:r>
        <w:rPr>
          <w:b/>
          <w:bCs/>
          <w:szCs w:val="24"/>
        </w:rPr>
        <w:t xml:space="preserve">VIEŠOSIOS ĮSTAIGOS </w:t>
      </w:r>
      <w:r>
        <w:rPr>
          <w:b/>
          <w:caps/>
        </w:rPr>
        <w:t xml:space="preserve">INOVACIJŲ AGENTŪROS </w:t>
      </w:r>
      <w:r>
        <w:rPr>
          <w:b/>
          <w:bCs/>
          <w:szCs w:val="24"/>
        </w:rPr>
        <w:t xml:space="preserve">VADOVO DARBO APMOKĖJIMO SISTEMOS APRAŠAS </w:t>
      </w:r>
    </w:p>
    <w:p w:rsidR="00DC61B3" w:rsidRDefault="00DC61B3">
      <w:pPr>
        <w:rPr>
          <w:szCs w:val="24"/>
        </w:rPr>
      </w:pPr>
    </w:p>
    <w:p w:rsidR="00DC61B3" w:rsidRDefault="00024F95">
      <w:pPr>
        <w:pStyle w:val="Heading1"/>
        <w:rPr>
          <w:b/>
          <w:szCs w:val="24"/>
        </w:rPr>
      </w:pPr>
      <w:r>
        <w:rPr>
          <w:b/>
          <w:szCs w:val="24"/>
        </w:rPr>
        <w:t>I SKYRIUS</w:t>
      </w:r>
    </w:p>
    <w:p w:rsidR="00DC61B3" w:rsidRDefault="00024F95">
      <w:pPr>
        <w:ind w:firstLine="0"/>
        <w:jc w:val="center"/>
        <w:rPr>
          <w:szCs w:val="24"/>
        </w:rPr>
      </w:pPr>
      <w:r>
        <w:rPr>
          <w:b/>
          <w:szCs w:val="24"/>
        </w:rPr>
        <w:t>BENDROSIOS NUOSTATOS</w:t>
      </w:r>
    </w:p>
    <w:p w:rsidR="00DC61B3" w:rsidRDefault="00DC61B3">
      <w:pPr>
        <w:rPr>
          <w:szCs w:val="24"/>
        </w:rPr>
      </w:pPr>
    </w:p>
    <w:p w:rsidR="00DC61B3" w:rsidRDefault="00024F95">
      <w:pPr>
        <w:ind w:firstLine="709"/>
        <w:rPr>
          <w:szCs w:val="24"/>
        </w:rPr>
      </w:pPr>
      <w:r>
        <w:rPr>
          <w:szCs w:val="24"/>
        </w:rPr>
        <w:t xml:space="preserve">1. </w:t>
      </w:r>
      <w:r>
        <w:rPr>
          <w:bCs/>
          <w:szCs w:val="24"/>
        </w:rPr>
        <w:t xml:space="preserve">Viešosios įstaigos </w:t>
      </w:r>
      <w:r>
        <w:t xml:space="preserve">Inovacijų agentūros </w:t>
      </w:r>
      <w:r>
        <w:rPr>
          <w:bCs/>
          <w:szCs w:val="24"/>
        </w:rPr>
        <w:t xml:space="preserve">vadovo darbo apmokėjimo sistemos </w:t>
      </w:r>
      <w:r>
        <w:rPr>
          <w:szCs w:val="24"/>
        </w:rPr>
        <w:t>aprašas</w:t>
      </w:r>
      <w:r>
        <w:rPr>
          <w:caps/>
          <w:szCs w:val="24"/>
        </w:rPr>
        <w:t xml:space="preserve"> </w:t>
      </w:r>
      <w:r>
        <w:rPr>
          <w:szCs w:val="24"/>
        </w:rPr>
        <w:t xml:space="preserve">(toliau – Aprašas) reguliuoja </w:t>
      </w:r>
      <w:r>
        <w:rPr>
          <w:bCs/>
          <w:szCs w:val="24"/>
        </w:rPr>
        <w:t xml:space="preserve">viešosios įstaigos </w:t>
      </w:r>
      <w:r>
        <w:t xml:space="preserve">Inovacijų agentūros </w:t>
      </w:r>
      <w:r>
        <w:rPr>
          <w:bCs/>
          <w:szCs w:val="24"/>
        </w:rPr>
        <w:t xml:space="preserve">(toliau – Inovacijų agentūra) </w:t>
      </w:r>
      <w:r>
        <w:rPr>
          <w:szCs w:val="24"/>
        </w:rPr>
        <w:t xml:space="preserve">vadovo </w:t>
      </w:r>
      <w:r>
        <w:rPr>
          <w:bCs/>
          <w:szCs w:val="24"/>
        </w:rPr>
        <w:t xml:space="preserve">darbo </w:t>
      </w:r>
      <w:r>
        <w:rPr>
          <w:szCs w:val="24"/>
        </w:rPr>
        <w:t>užmokesčio nustatymą, skaičiavimą ir mokėjimą,</w:t>
      </w:r>
      <w:r>
        <w:rPr>
          <w:color w:val="000000"/>
          <w:szCs w:val="24"/>
        </w:rPr>
        <w:t xml:space="preserve"> pareiginės algos koeficiento nustatymo kriterijus, jų peržiūrėjimo tvarką, premijų ir priemokų skyrimo  tvarką</w:t>
      </w:r>
      <w:r>
        <w:rPr>
          <w:szCs w:val="24"/>
        </w:rPr>
        <w:t xml:space="preserve"> bei materialinių pašalpų vadovui skyrimą.</w:t>
      </w:r>
    </w:p>
    <w:p w:rsidR="00DC61B3" w:rsidRDefault="00024F95">
      <w:pPr>
        <w:ind w:firstLine="709"/>
        <w:rPr>
          <w:szCs w:val="24"/>
        </w:rPr>
      </w:pPr>
      <w:r>
        <w:rPr>
          <w:color w:val="000000"/>
          <w:szCs w:val="24"/>
        </w:rPr>
        <w:t>2. Darbo apmokėjimo sistema nustatoma vadovaujantis</w:t>
      </w:r>
      <w:r>
        <w:rPr>
          <w:bCs/>
          <w:szCs w:val="24"/>
        </w:rPr>
        <w:t xml:space="preserve"> teisinio apibrėžtumo, teisėtų lūkesčių apsaugos ir visokeriopos darbo santykių teisių gynybos, darbo santykių stabilumo, teisingo mokėjimo už darbą, darbuotojų lygybės, nepaisant jų lyties, rasės, tautybės, pilietybės, kalbos, kilmės, socialinės padėties, tikėjimo, religijos ar įsitikinimų ar pažiūrų, amžiaus, </w:t>
      </w:r>
      <w:r>
        <w:rPr>
          <w:color w:val="000000"/>
          <w:szCs w:val="24"/>
        </w:rPr>
        <w:t>lytinės orientacijos, negalios,</w:t>
      </w:r>
      <w:r>
        <w:rPr>
          <w:bCs/>
          <w:szCs w:val="24"/>
        </w:rPr>
        <w:t xml:space="preserve"> etninės priklausomybės, sveikatos būklės, </w:t>
      </w:r>
      <w:r>
        <w:rPr>
          <w:color w:val="000000"/>
          <w:szCs w:val="24"/>
        </w:rPr>
        <w:t xml:space="preserve">ketinimo turėti vaiką (vaikų), įvaikį (įvaikių), globotinį (globotinių), rūpintinį (rūpintinių), santuokinės ir šeiminės padėties, </w:t>
      </w:r>
      <w:r>
        <w:rPr>
          <w:bCs/>
          <w:szCs w:val="24"/>
        </w:rPr>
        <w:t>priklausymo politinėms partijoms, profesinėms sąjungoms ir asociacijoms aplinkybių, nesusijusių su dalykinėmis savybėmis, skaidrumo ir viešumo principais.</w:t>
      </w:r>
    </w:p>
    <w:p w:rsidR="00DC61B3" w:rsidRDefault="00024F95">
      <w:pPr>
        <w:ind w:firstLine="709"/>
        <w:rPr>
          <w:bCs/>
          <w:szCs w:val="24"/>
        </w:rPr>
      </w:pPr>
      <w:r>
        <w:rPr>
          <w:bCs/>
          <w:szCs w:val="24"/>
        </w:rPr>
        <w:t>3. Aprašas parengtas vadovaujantis Lietuvos Respublikos darbo kodeksu, Lietuvos Respublikos viešųjų įstaigų, kurių savininkė ar dalininkė, turinti daugiau kaip pusę balsų visuotiniame dalininkų susirinkime, yra valstybė ar savivaldybė, vadovų ir darbuotojų darbo apmokėjimo įstatymu (toliau – Įstatymas)</w:t>
      </w:r>
      <w:r>
        <w:rPr>
          <w:color w:val="000000"/>
          <w:szCs w:val="24"/>
        </w:rPr>
        <w:t>.</w:t>
      </w:r>
    </w:p>
    <w:p w:rsidR="00DC61B3" w:rsidRDefault="00024F95">
      <w:pPr>
        <w:ind w:firstLine="709"/>
        <w:rPr>
          <w:szCs w:val="24"/>
          <w:lang w:eastAsia="en-US"/>
        </w:rPr>
      </w:pPr>
      <w:r>
        <w:rPr>
          <w:bCs/>
          <w:szCs w:val="24"/>
        </w:rPr>
        <w:t xml:space="preserve">4. </w:t>
      </w:r>
      <w:r>
        <w:rPr>
          <w:szCs w:val="24"/>
          <w:lang w:eastAsia="en-US"/>
        </w:rPr>
        <w:t xml:space="preserve">Apraše vartojamos sąvokos suprantamos taip, kaip jos apibrėžtos </w:t>
      </w:r>
      <w:bookmarkStart w:id="1" w:name="_Hlk156562151"/>
      <w:r>
        <w:rPr>
          <w:szCs w:val="24"/>
          <w:lang w:eastAsia="en-US"/>
        </w:rPr>
        <w:t>Įstatyme</w:t>
      </w:r>
      <w:bookmarkEnd w:id="1"/>
      <w:r>
        <w:rPr>
          <w:szCs w:val="24"/>
          <w:lang w:eastAsia="en-US"/>
        </w:rPr>
        <w:t xml:space="preserve"> ir Darbo kodekse.</w:t>
      </w:r>
    </w:p>
    <w:p w:rsidR="00DC61B3" w:rsidRDefault="00DC61B3">
      <w:pPr>
        <w:ind w:firstLine="709"/>
        <w:rPr>
          <w:szCs w:val="24"/>
          <w:lang w:eastAsia="en-US"/>
        </w:rPr>
      </w:pPr>
    </w:p>
    <w:p w:rsidR="00DC61B3" w:rsidRDefault="00024F95">
      <w:pPr>
        <w:ind w:firstLine="0"/>
        <w:jc w:val="center"/>
        <w:rPr>
          <w:b/>
          <w:szCs w:val="24"/>
        </w:rPr>
      </w:pPr>
      <w:bookmarkStart w:id="2" w:name="_Hlk156918923"/>
      <w:bookmarkStart w:id="3" w:name="_Hlk156918981"/>
      <w:bookmarkEnd w:id="2"/>
      <w:bookmarkEnd w:id="3"/>
      <w:r>
        <w:rPr>
          <w:b/>
          <w:szCs w:val="24"/>
        </w:rPr>
        <w:t>II SKYRIUS</w:t>
      </w:r>
    </w:p>
    <w:p w:rsidR="00DC61B3" w:rsidRDefault="00024F95">
      <w:pPr>
        <w:ind w:left="312" w:right="673"/>
        <w:jc w:val="center"/>
        <w:rPr>
          <w:b/>
        </w:rPr>
      </w:pPr>
      <w:r>
        <w:rPr>
          <w:b/>
        </w:rPr>
        <w:t>DARBO</w:t>
      </w:r>
      <w:r>
        <w:rPr>
          <w:b/>
          <w:spacing w:val="-4"/>
        </w:rPr>
        <w:t xml:space="preserve"> </w:t>
      </w:r>
      <w:r>
        <w:rPr>
          <w:b/>
        </w:rPr>
        <w:t>UŽMOKESČIO</w:t>
      </w:r>
      <w:r>
        <w:rPr>
          <w:b/>
          <w:spacing w:val="-3"/>
        </w:rPr>
        <w:t xml:space="preserve"> </w:t>
      </w:r>
      <w:r>
        <w:rPr>
          <w:b/>
        </w:rPr>
        <w:t>STRUKTŪRA IR SKAIČIAVIMAS</w:t>
      </w:r>
    </w:p>
    <w:p w:rsidR="00DC61B3" w:rsidRDefault="00DC61B3">
      <w:pPr>
        <w:rPr>
          <w:b/>
          <w:szCs w:val="24"/>
        </w:rPr>
      </w:pPr>
    </w:p>
    <w:p w:rsidR="00DC61B3" w:rsidRDefault="00024F95">
      <w:pPr>
        <w:rPr>
          <w:szCs w:val="24"/>
        </w:rPr>
      </w:pPr>
      <w:r>
        <w:rPr>
          <w:szCs w:val="24"/>
        </w:rPr>
        <w:t>5. Inovacijų agentūros vadovo darbo užmokestį sudaro:</w:t>
      </w:r>
    </w:p>
    <w:p w:rsidR="00DC61B3" w:rsidRDefault="00024F95">
      <w:pPr>
        <w:ind w:firstLine="709"/>
        <w:rPr>
          <w:szCs w:val="24"/>
        </w:rPr>
      </w:pPr>
      <w:r>
        <w:rPr>
          <w:szCs w:val="24"/>
        </w:rPr>
        <w:t>5.1. pareiginė alga;</w:t>
      </w:r>
    </w:p>
    <w:p w:rsidR="00DC61B3" w:rsidRDefault="00024F95">
      <w:pPr>
        <w:rPr>
          <w:szCs w:val="24"/>
        </w:rPr>
      </w:pPr>
      <w:r>
        <w:rPr>
          <w:szCs w:val="24"/>
        </w:rPr>
        <w:t xml:space="preserve">5.2. papildoma darbo užmokesčio dalis; </w:t>
      </w:r>
    </w:p>
    <w:p w:rsidR="00DC61B3" w:rsidRDefault="00024F95">
      <w:r>
        <w:rPr>
          <w:szCs w:val="24"/>
        </w:rPr>
        <w:t>5.3. premija;</w:t>
      </w:r>
    </w:p>
    <w:p w:rsidR="00DC61B3" w:rsidRDefault="00024F95">
      <w:pPr>
        <w:rPr>
          <w:color w:val="0070C0"/>
          <w:szCs w:val="24"/>
        </w:rPr>
      </w:pPr>
      <w:r>
        <w:rPr>
          <w:szCs w:val="24"/>
        </w:rPr>
        <w:t>5.4. priemokos;</w:t>
      </w:r>
      <w:r>
        <w:rPr>
          <w:color w:val="0070C0"/>
          <w:szCs w:val="24"/>
        </w:rPr>
        <w:t xml:space="preserve"> </w:t>
      </w:r>
    </w:p>
    <w:p w:rsidR="00DC61B3" w:rsidRDefault="00024F95">
      <w:pPr>
        <w:rPr>
          <w:color w:val="0070C0"/>
          <w:szCs w:val="24"/>
        </w:rPr>
      </w:pPr>
      <w:r>
        <w:rPr>
          <w:color w:val="000000"/>
        </w:rPr>
        <w:t>5.5. mokėjimas už darbą poilsio ir švenčių dienomis, nakties ir viršvalandinį darbą, darbą, kai yra nukrypimų nuo normalių darbo sąlygų, ar budėjimą.</w:t>
      </w:r>
    </w:p>
    <w:p w:rsidR="00DC61B3" w:rsidRDefault="00024F95">
      <w:r>
        <w:rPr>
          <w:szCs w:val="24"/>
        </w:rPr>
        <w:t xml:space="preserve">6. Inovacijų agentūros vadovui </w:t>
      </w:r>
      <w:r>
        <w:t>darbo</w:t>
      </w:r>
      <w:r>
        <w:rPr>
          <w:spacing w:val="1"/>
        </w:rPr>
        <w:t xml:space="preserve"> </w:t>
      </w:r>
      <w:r>
        <w:t>užmokestis</w:t>
      </w:r>
      <w:r>
        <w:rPr>
          <w:spacing w:val="1"/>
        </w:rPr>
        <w:t xml:space="preserve"> </w:t>
      </w:r>
      <w:r>
        <w:t>skaičiuojamas</w:t>
      </w:r>
      <w:r>
        <w:rPr>
          <w:spacing w:val="1"/>
        </w:rPr>
        <w:t xml:space="preserve"> </w:t>
      </w:r>
      <w:r>
        <w:t>taikant</w:t>
      </w:r>
      <w:r>
        <w:rPr>
          <w:spacing w:val="1"/>
        </w:rPr>
        <w:t xml:space="preserve"> </w:t>
      </w:r>
      <w:r>
        <w:t>Lietuvos</w:t>
      </w:r>
      <w:r>
        <w:rPr>
          <w:spacing w:val="1"/>
        </w:rPr>
        <w:t xml:space="preserve"> </w:t>
      </w:r>
      <w:r>
        <w:t>Respublikos</w:t>
      </w:r>
      <w:r>
        <w:rPr>
          <w:spacing w:val="-57"/>
        </w:rPr>
        <w:t xml:space="preserve"> </w:t>
      </w:r>
      <w:r>
        <w:t>pareiginės</w:t>
      </w:r>
      <w:r>
        <w:rPr>
          <w:spacing w:val="1"/>
        </w:rPr>
        <w:t xml:space="preserve"> </w:t>
      </w:r>
      <w:r>
        <w:t>algos</w:t>
      </w:r>
      <w:r>
        <w:rPr>
          <w:spacing w:val="1"/>
        </w:rPr>
        <w:t xml:space="preserve"> </w:t>
      </w:r>
      <w:r>
        <w:t>(atlyginimo)</w:t>
      </w:r>
      <w:r>
        <w:rPr>
          <w:spacing w:val="1"/>
        </w:rPr>
        <w:t xml:space="preserve"> </w:t>
      </w:r>
      <w:r>
        <w:t>bazinio</w:t>
      </w:r>
      <w:r>
        <w:rPr>
          <w:spacing w:val="1"/>
        </w:rPr>
        <w:t xml:space="preserve"> </w:t>
      </w:r>
      <w:r>
        <w:t>dydžio</w:t>
      </w:r>
      <w:r>
        <w:rPr>
          <w:spacing w:val="1"/>
        </w:rPr>
        <w:t xml:space="preserve"> </w:t>
      </w:r>
      <w:r>
        <w:t>nustatymo</w:t>
      </w:r>
      <w:r>
        <w:rPr>
          <w:spacing w:val="1"/>
        </w:rPr>
        <w:t xml:space="preserve"> </w:t>
      </w:r>
      <w:r>
        <w:t>ir</w:t>
      </w:r>
      <w:r>
        <w:rPr>
          <w:spacing w:val="1"/>
        </w:rPr>
        <w:t xml:space="preserve"> </w:t>
      </w:r>
      <w:r>
        <w:t>asignavimų</w:t>
      </w:r>
      <w:r>
        <w:rPr>
          <w:spacing w:val="1"/>
        </w:rPr>
        <w:t xml:space="preserve"> </w:t>
      </w:r>
      <w:r>
        <w:t>darbo</w:t>
      </w:r>
      <w:r>
        <w:rPr>
          <w:spacing w:val="1"/>
        </w:rPr>
        <w:t xml:space="preserve"> </w:t>
      </w:r>
      <w:r>
        <w:t>užmokesčiui</w:t>
      </w:r>
      <w:r>
        <w:rPr>
          <w:spacing w:val="1"/>
        </w:rPr>
        <w:t xml:space="preserve"> </w:t>
      </w:r>
      <w:r>
        <w:t xml:space="preserve">perskaičiavimo įstatyme nustatytą pareiginės algos (atlyginimo) bazinį dydį (toliau – </w:t>
      </w:r>
      <w:r>
        <w:rPr>
          <w:color w:val="000000"/>
          <w:szCs w:val="24"/>
          <w:lang w:eastAsia="lt-LT"/>
        </w:rPr>
        <w:t xml:space="preserve">pareiginės algos bazinis dydis). </w:t>
      </w:r>
      <w:r>
        <w:t xml:space="preserve">  </w:t>
      </w:r>
    </w:p>
    <w:p w:rsidR="00DC61B3" w:rsidRDefault="00024F95">
      <w:pPr>
        <w:rPr>
          <w:color w:val="000000"/>
          <w:szCs w:val="24"/>
          <w:lang w:eastAsia="lt-LT"/>
        </w:rPr>
      </w:pPr>
      <w:r>
        <w:rPr>
          <w:szCs w:val="24"/>
        </w:rPr>
        <w:t xml:space="preserve">7. Inovacijų agentūros </w:t>
      </w:r>
      <w:r>
        <w:rPr>
          <w:color w:val="000000"/>
          <w:szCs w:val="24"/>
          <w:lang w:eastAsia="lt-LT"/>
        </w:rPr>
        <w:t xml:space="preserve">vadovui gali būti mokama už dalyvavimą </w:t>
      </w:r>
      <w:r>
        <w:rPr>
          <w:szCs w:val="24"/>
        </w:rPr>
        <w:t>Inovacijų agentūros</w:t>
      </w:r>
      <w:r>
        <w:rPr>
          <w:color w:val="000000"/>
          <w:szCs w:val="24"/>
          <w:lang w:eastAsia="lt-LT"/>
        </w:rPr>
        <w:t xml:space="preserve"> ar kitos valstybės ar savivaldybės institucijos ar įstaigos įgyvendinamuose projektuose, taip pat veikloje, atliekamoje pagal </w:t>
      </w:r>
      <w:r>
        <w:rPr>
          <w:szCs w:val="24"/>
        </w:rPr>
        <w:t xml:space="preserve">Inovacijų agentūros </w:t>
      </w:r>
      <w:r>
        <w:rPr>
          <w:color w:val="000000"/>
          <w:szCs w:val="24"/>
          <w:lang w:eastAsia="lt-LT"/>
        </w:rPr>
        <w:t xml:space="preserve">sudarytas bendradarbiavimo sutartis su tarptautinėmis ar remiantis Europos Sąjungos teisės aktais įsteigtomis institucijomis (toliau – veikla pagal bendradarbiavimo sutartis), jeigu šie projektai ar veikla turi konkrečius ir išmatuojamus tikslus, suderinamus su </w:t>
      </w:r>
      <w:r>
        <w:rPr>
          <w:szCs w:val="24"/>
        </w:rPr>
        <w:t xml:space="preserve">Inovacijų agentūros </w:t>
      </w:r>
      <w:r>
        <w:rPr>
          <w:color w:val="000000"/>
          <w:szCs w:val="24"/>
          <w:lang w:eastAsia="lt-LT"/>
        </w:rPr>
        <w:t xml:space="preserve">veiklos tikslais, nustatytas jų įgyvendinimo terminas ir jiems numatytas atskiras biudžetas. Už dalyvavimą Europos Sąjungos, tarptautinių organizacijų, užsienio valstybių, Lietuvos arba bendrai finansuojamuose paramos teikimo ir (arba) Lietuvos vystomojo bendradarbiavimo projektuose ar veikloje pagal bendradarbiavimo sutartis iš Europos Sąjungos, tarptautinių organizacijų, užsienio valstybių lėšų mokama projektų ar bendradarbiavimo sutartyse nustatytomis sąlygomis (pagal įkainius). Jeigu sąlygos (ir įkainiai) nenustatyti, mokėjimo už dalyvavimą įgyvendinant projektus ar veikloje pagal bendradarbiavimo sutartis įkainius </w:t>
      </w:r>
      <w:r>
        <w:rPr>
          <w:szCs w:val="24"/>
        </w:rPr>
        <w:t xml:space="preserve">Inovacijų agentūros </w:t>
      </w:r>
      <w:r>
        <w:rPr>
          <w:color w:val="000000"/>
          <w:szCs w:val="24"/>
          <w:lang w:eastAsia="lt-LT"/>
        </w:rPr>
        <w:t>vadovui nustato visuotinis dalininkų susirinkimas.</w:t>
      </w:r>
    </w:p>
    <w:p w:rsidR="00DC61B3" w:rsidRDefault="00024F95">
      <w:pPr>
        <w:suppressAutoHyphens w:val="0"/>
        <w:rPr>
          <w:color w:val="000000"/>
          <w:szCs w:val="24"/>
          <w:lang w:eastAsia="lt-LT"/>
        </w:rPr>
      </w:pPr>
      <w:r>
        <w:rPr>
          <w:color w:val="000000"/>
          <w:szCs w:val="24"/>
          <w:lang w:eastAsia="lt-LT"/>
        </w:rPr>
        <w:t xml:space="preserve">8. Už laiką, kurį </w:t>
      </w:r>
      <w:r>
        <w:rPr>
          <w:szCs w:val="24"/>
        </w:rPr>
        <w:t xml:space="preserve">Inovacijų agentūros </w:t>
      </w:r>
      <w:r>
        <w:rPr>
          <w:color w:val="000000"/>
          <w:szCs w:val="24"/>
          <w:lang w:eastAsia="lt-LT"/>
        </w:rPr>
        <w:t>vadovas dalyvauja Aprašo 7 punkte nurodytuose projektuose ar veikloje pagal bendradarbiavimo sutartis, už kurį mokama Aprašo 7 punkte nustatyta tvarka, darbo užmokestis iš valstybės biudžeto lėšų Inovacijų agentūros vadovui nemokamas.</w:t>
      </w:r>
    </w:p>
    <w:p w:rsidR="00DC61B3" w:rsidRDefault="00DC61B3">
      <w:pPr>
        <w:rPr>
          <w:color w:val="000000"/>
          <w:szCs w:val="24"/>
          <w:lang w:eastAsia="lt-LT"/>
        </w:rPr>
      </w:pPr>
      <w:bookmarkStart w:id="4" w:name="part_b2b0b22db4494f36a88e9ddb51fc09ca"/>
      <w:bookmarkStart w:id="5" w:name="part_b41c9224291f45e88f9b89cdab0dc607"/>
      <w:bookmarkEnd w:id="4"/>
      <w:bookmarkEnd w:id="5"/>
    </w:p>
    <w:p w:rsidR="00DC61B3" w:rsidRDefault="00024F95">
      <w:pPr>
        <w:ind w:firstLine="0"/>
        <w:jc w:val="center"/>
        <w:rPr>
          <w:b/>
          <w:bCs/>
          <w:szCs w:val="24"/>
        </w:rPr>
      </w:pPr>
      <w:r>
        <w:rPr>
          <w:b/>
          <w:bCs/>
          <w:szCs w:val="24"/>
        </w:rPr>
        <w:t xml:space="preserve">III SKYRIUS </w:t>
      </w:r>
    </w:p>
    <w:p w:rsidR="00DC61B3" w:rsidRDefault="00024F95">
      <w:pPr>
        <w:ind w:firstLine="0"/>
        <w:jc w:val="center"/>
        <w:rPr>
          <w:szCs w:val="24"/>
        </w:rPr>
      </w:pPr>
      <w:r>
        <w:rPr>
          <w:b/>
          <w:bCs/>
          <w:szCs w:val="24"/>
        </w:rPr>
        <w:t xml:space="preserve">PAREIGINĖ ALGA </w:t>
      </w:r>
    </w:p>
    <w:p w:rsidR="00DC61B3" w:rsidRDefault="00DC61B3">
      <w:pPr>
        <w:jc w:val="center"/>
        <w:rPr>
          <w:szCs w:val="24"/>
        </w:rPr>
      </w:pPr>
    </w:p>
    <w:p w:rsidR="00DC61B3" w:rsidRDefault="00024F95">
      <w:pPr>
        <w:tabs>
          <w:tab w:val="left" w:pos="993"/>
        </w:tabs>
        <w:rPr>
          <w:color w:val="000000"/>
          <w:szCs w:val="24"/>
          <w:lang w:eastAsia="lt-LT"/>
        </w:rPr>
      </w:pPr>
      <w:r>
        <w:t>9.</w:t>
      </w:r>
      <w:r>
        <w:tab/>
        <w:t xml:space="preserve">Inovacijų agentūros vadovo pareiginė alga </w:t>
      </w:r>
      <w:r>
        <w:rPr>
          <w:color w:val="000000"/>
          <w:szCs w:val="24"/>
          <w:lang w:eastAsia="lt-LT"/>
        </w:rPr>
        <w:t xml:space="preserve">apskaičiuojama pareiginės algos koeficientą </w:t>
      </w:r>
      <w:r>
        <w:rPr>
          <w:bCs/>
          <w:szCs w:val="24"/>
        </w:rPr>
        <w:t xml:space="preserve">(toliau – koeficientas) </w:t>
      </w:r>
      <w:r>
        <w:rPr>
          <w:color w:val="000000"/>
          <w:szCs w:val="24"/>
          <w:lang w:eastAsia="lt-LT"/>
        </w:rPr>
        <w:t>padauginus iš pareiginės algos bazinio dydžio.</w:t>
      </w:r>
    </w:p>
    <w:p w:rsidR="00DC61B3" w:rsidRDefault="00024F95">
      <w:r>
        <w:rPr>
          <w:color w:val="000000"/>
          <w:szCs w:val="24"/>
          <w:lang w:eastAsia="lt-LT"/>
        </w:rPr>
        <w:t xml:space="preserve">10. Priimamo naujo </w:t>
      </w:r>
      <w:r>
        <w:t xml:space="preserve">Inovacijų agentūros vadovo pareiginei algai apskaičiuoti negali būti taikomas mažesnis nei </w:t>
      </w:r>
      <w:r>
        <w:rPr>
          <w:bCs/>
          <w:szCs w:val="24"/>
        </w:rPr>
        <w:t xml:space="preserve">Įstatymo priede nustatytas minimalus viešosios įstaigos vadovo koeficientas. Iki Įstatymo įsigaliojimo paskirto </w:t>
      </w:r>
      <w:r>
        <w:t>Inovacijų agentūros vadovo pareiginei algai apskaičiuoti negali būti taikomas mažesnis nei 2,92 koeficientas.</w:t>
      </w:r>
    </w:p>
    <w:p w:rsidR="00DC61B3" w:rsidRDefault="00024F95">
      <w:pPr>
        <w:rPr>
          <w:bCs/>
          <w:szCs w:val="24"/>
        </w:rPr>
      </w:pPr>
      <w:r>
        <w:t>11. V</w:t>
      </w:r>
      <w:r>
        <w:rPr>
          <w:bCs/>
          <w:szCs w:val="24"/>
        </w:rPr>
        <w:t xml:space="preserve">adovaujantis Aprašo priede nustatytais kriterijais, </w:t>
      </w:r>
      <w:r>
        <w:t>Inovacijų agentūros vadovo pareiginei algai apskaičiuoti gali būti nustatytas didesnis nei nurodytas šio Aprašo 10 punkte minimalus koeficientas, tačiau ne didesnis nei Į</w:t>
      </w:r>
      <w:r>
        <w:rPr>
          <w:bCs/>
          <w:szCs w:val="24"/>
        </w:rPr>
        <w:t xml:space="preserve">statymo priede nustatytas maksimalus koeficientas. </w:t>
      </w:r>
    </w:p>
    <w:p w:rsidR="00DC61B3" w:rsidRDefault="00024F95">
      <w:r>
        <w:rPr>
          <w:bCs/>
          <w:szCs w:val="24"/>
        </w:rPr>
        <w:t>12. Didesnis nei minimalus koeficientas apskaičiuojamas taip:</w:t>
      </w:r>
    </w:p>
    <w:p w:rsidR="00DC61B3" w:rsidRDefault="00024F95">
      <w:pPr>
        <w:rPr>
          <w:bCs/>
          <w:szCs w:val="24"/>
        </w:rPr>
      </w:pPr>
      <w:r>
        <w:rPr>
          <w:bCs/>
          <w:szCs w:val="24"/>
        </w:rPr>
        <w:t>12.1. Pagal Aprašo priede nustatytus kriterijus nustatoma, kokia koeficiento dalimi minimaliai ir kokia maksimaliai galėtų būti padidintas minimalus koeficientas.</w:t>
      </w:r>
    </w:p>
    <w:p w:rsidR="00DC61B3" w:rsidRDefault="00024F95">
      <w:pPr>
        <w:rPr>
          <w:bCs/>
          <w:szCs w:val="24"/>
        </w:rPr>
      </w:pPr>
      <w:r>
        <w:rPr>
          <w:bCs/>
          <w:szCs w:val="24"/>
        </w:rPr>
        <w:t xml:space="preserve">12.2. Galutinis koeficientas (suapvalintas iki šimtųjų dalių) derybų būdu suderinamas su esamu (skiriamu nauju) Inovacijų agentūros vadovu. </w:t>
      </w:r>
    </w:p>
    <w:p w:rsidR="00DC61B3" w:rsidRDefault="00024F95">
      <w:r>
        <w:t>13. Inovacijų agentūros vadovo pareiginė alga mokama ne rečiau kaip kartą per mėnesį.</w:t>
      </w:r>
    </w:p>
    <w:p w:rsidR="00DC61B3" w:rsidRDefault="00024F95">
      <w:pPr>
        <w:rPr>
          <w:color w:val="000000"/>
          <w:szCs w:val="24"/>
          <w:lang w:eastAsia="lt-LT"/>
        </w:rPr>
      </w:pPr>
      <w:r>
        <w:t xml:space="preserve">14. Nustatyta Inovacijų agentūros vadovo pareiginė alga </w:t>
      </w:r>
      <w:r>
        <w:rPr>
          <w:color w:val="000000"/>
          <w:szCs w:val="24"/>
          <w:lang w:eastAsia="lt-LT"/>
        </w:rPr>
        <w:t xml:space="preserve">peržiūrima ne rečiau kaip kartą ir ne dažniau kaip du kartus per metus arba pasikeitus teisės aktams, reglamentuojantiems darbo apmokėjimo sistemą. </w:t>
      </w:r>
    </w:p>
    <w:p w:rsidR="00DC61B3" w:rsidRDefault="00DC61B3">
      <w:pPr>
        <w:rPr>
          <w:color w:val="000000"/>
          <w:szCs w:val="24"/>
          <w:lang w:eastAsia="lt-LT"/>
        </w:rPr>
      </w:pPr>
    </w:p>
    <w:p w:rsidR="00DC61B3" w:rsidRDefault="00024F95">
      <w:pPr>
        <w:ind w:firstLine="0"/>
        <w:jc w:val="center"/>
        <w:rPr>
          <w:b/>
          <w:bCs/>
          <w:szCs w:val="24"/>
        </w:rPr>
      </w:pPr>
      <w:r>
        <w:rPr>
          <w:b/>
          <w:bCs/>
          <w:szCs w:val="24"/>
        </w:rPr>
        <w:t>IV SKYRIUS</w:t>
      </w:r>
    </w:p>
    <w:p w:rsidR="00DC61B3" w:rsidRDefault="00024F95">
      <w:pPr>
        <w:ind w:firstLine="0"/>
        <w:jc w:val="center"/>
        <w:rPr>
          <w:b/>
          <w:bCs/>
        </w:rPr>
      </w:pPr>
      <w:r>
        <w:rPr>
          <w:b/>
          <w:bCs/>
        </w:rPr>
        <w:t xml:space="preserve">PAPILDOMA DARBO UŽMOKESČIO DALIS </w:t>
      </w:r>
    </w:p>
    <w:p w:rsidR="00DC61B3" w:rsidRDefault="00DC61B3">
      <w:pPr>
        <w:jc w:val="center"/>
        <w:rPr>
          <w:b/>
          <w:bCs/>
        </w:rPr>
      </w:pPr>
    </w:p>
    <w:p w:rsidR="00DC61B3" w:rsidRDefault="00024F95">
      <w:pPr>
        <w:rPr>
          <w:szCs w:val="24"/>
        </w:rPr>
      </w:pPr>
      <w:r>
        <w:t>15.</w:t>
      </w:r>
      <w:r>
        <w:rPr>
          <w:b/>
          <w:bCs/>
        </w:rPr>
        <w:t xml:space="preserve"> </w:t>
      </w:r>
      <w:r>
        <w:t xml:space="preserve">Papildoma darbo užmokesčio dalis priklauso nuo Inovacijų agentūros vadovui visuotinio dalininkų susirinkimo nustatytų užduočių, kurios patvirtinamos ne vėliau kaip iki tų metų, kuriems yra nustatomos, sausio 31 dienos ir yra išreikštos konkrečiais veiklos rodikliais, įvykdymo. </w:t>
      </w:r>
      <w:r>
        <w:rPr>
          <w:szCs w:val="24"/>
        </w:rPr>
        <w:t>Priimtam naujam Inovacijų agentūros vadovui Inovacijų agentūros vadovo užduotys ir veiklos rodikliai nustatomi per vieną mėnesį nuo Inovacijų agentūros vadovo priėmimo dienos. Jeigu vadovo darbo Inovacijų agentūroje pradžios data yra vėlesnė negu spalio 1 diena, jam Inovacijų agentūros vadovo užduotys ir veiklos rodikliai einamiesiems kalendoriniams metams gali būti nenustatomi.</w:t>
      </w:r>
    </w:p>
    <w:p w:rsidR="00DC61B3" w:rsidRDefault="00024F95">
      <w:pPr>
        <w:rPr>
          <w:szCs w:val="24"/>
        </w:rPr>
      </w:pPr>
      <w:r>
        <w:t xml:space="preserve">16. </w:t>
      </w:r>
      <w:bookmarkStart w:id="6" w:name="_Hlk156984162"/>
      <w:r>
        <w:t xml:space="preserve">Inovacijų agentūros vadovo užduočių skaičius nėra ribojamas, bet už visišką kiekvienos užduoties įgyvendinimą negali būti nustatyta mažesnė kaip 5 procentų ir didesnė kaip 30 procentų  papildoma darbo užmokesčio dalis. Bendra </w:t>
      </w:r>
      <w:r>
        <w:rPr>
          <w:szCs w:val="24"/>
        </w:rPr>
        <w:t>papildoma darbo užmokesčio dalis negali viršyti 30 procentų Inovacijų agentūros vadovui praėjusiais finansiniais metais išmokėtos pareiginės algos sumos</w:t>
      </w:r>
      <w:bookmarkEnd w:id="6"/>
      <w:r>
        <w:rPr>
          <w:szCs w:val="24"/>
        </w:rPr>
        <w:t xml:space="preserve"> arba, jei tvirtinant </w:t>
      </w:r>
      <w:r>
        <w:t>Inovacijų agentūros vadovo užduotis buvo nustatyta, kad maksimali galima bendra papildoma darbo užmokesčio dalis įvykdžius visas užduotis yra mažesnė nei 30 procentų, sprendime dėl Inovacijų agentūros vadovo užduočių nustatytos maksimalios galimos papildomos darbo užmokesčio dalies nurodyto dydžio.</w:t>
      </w:r>
    </w:p>
    <w:p w:rsidR="00DC61B3" w:rsidRDefault="00024F95">
      <w:pPr>
        <w:rPr>
          <w:szCs w:val="24"/>
        </w:rPr>
      </w:pPr>
      <w:r>
        <w:t xml:space="preserve">17. </w:t>
      </w:r>
      <w:r>
        <w:rPr>
          <w:szCs w:val="24"/>
        </w:rPr>
        <w:t xml:space="preserve">Papildoma darbo užmokesčio dalis Inovacijų agentūros vadovui nustatoma ir išmokama vieną kartą, pasibaigus finansiniams metams ir patvirtinus Inovacijų agentūros metinius finansinių ataskaitų rinkinius. Jeigu Inovacijų agentūros vadovas neįvykdo visų jam iškeltų užduočių, papildoma darbo užmokesčio dalis neišmokama, o jeigu Inovacijų agentūros vadovas šias užduotis įvykdo iš dalies, – mažinama (tiksli dalis apskaičiuojama pagal </w:t>
      </w:r>
      <w:r>
        <w:t>Inovacijų agentūros vadovui visuotinio dalininkų susirinkimo nustatytų užduočių ir veiklos rodiklių pasiekimo dalį procentais)</w:t>
      </w:r>
      <w:r>
        <w:rPr>
          <w:szCs w:val="24"/>
        </w:rPr>
        <w:t xml:space="preserve">. </w:t>
      </w:r>
    </w:p>
    <w:p w:rsidR="00DC61B3" w:rsidRDefault="00024F95">
      <w:pPr>
        <w:rPr>
          <w:szCs w:val="24"/>
        </w:rPr>
      </w:pPr>
      <w:r>
        <w:rPr>
          <w:szCs w:val="24"/>
        </w:rPr>
        <w:t xml:space="preserve">18. </w:t>
      </w:r>
      <w:r>
        <w:t>Papildoma darbo užmokesčio dalis</w:t>
      </w:r>
      <w:r>
        <w:rPr>
          <w:szCs w:val="24"/>
        </w:rPr>
        <w:t xml:space="preserve"> turi būti išmokama per mėnesį nuo Inovacijų agentūros metinių finansinių ataskaitų rinkinio patvirtinimo dienos. </w:t>
      </w:r>
    </w:p>
    <w:p w:rsidR="00DC61B3" w:rsidRDefault="00024F95">
      <w:r>
        <w:rPr>
          <w:szCs w:val="24"/>
        </w:rPr>
        <w:t xml:space="preserve">19. Kai Inovacijų </w:t>
      </w:r>
      <w:r>
        <w:t xml:space="preserve"> agentūros vadovas atšaukiamas iš pareigų (ir) ar darbo santykiai pasibaigia Aprašo 20 punkte nurodytais pagrindais, papildomos darbo užmokesčio dalies išmokėjimas atidedamas. Tokiu atveju papildoma darbo užmokesčio dalis išmokama </w:t>
      </w:r>
      <w:r>
        <w:rPr>
          <w:szCs w:val="24"/>
        </w:rPr>
        <w:t>per mėnesį nuo Inovacijų agentūros metinių finansinių ataskaitų rinkinio patvirtinimo dienos</w:t>
      </w:r>
      <w:r>
        <w:t>.</w:t>
      </w:r>
    </w:p>
    <w:p w:rsidR="00DC61B3" w:rsidRDefault="00024F95">
      <w:r>
        <w:t xml:space="preserve">20. Inovacijų agentūros vadovas išsaugo teisę į papildomos darbo užmokesčio dalies išmokėjimą, kai tenkinamos šios sąlygos: </w:t>
      </w:r>
    </w:p>
    <w:p w:rsidR="00DC61B3" w:rsidRDefault="00024F95">
      <w:r>
        <w:t xml:space="preserve">20.1. kai darbo santykiai pasibaigia darbdavio iniciatyva ar valia, šalių susitarimu, pasibaigus darbo sutarties terminui ar Inovacijų agentūros vadovą atšaukus iš pareigų, išskyrus atvejus, kai jis atšaukiamas dėl jo kaltės; </w:t>
      </w:r>
    </w:p>
    <w:p w:rsidR="00DC61B3" w:rsidRDefault="00024F95">
      <w:r>
        <w:t>20.2. kai darbo santykiai nutraukiami Inovacijų agentūros vadovo iniciatyva pasibaigus finansiniams metams ir apie tai įspėjus ne vėliau kaip prieš 3 mėnesius iki darbo santykių pasibaigimo dienos.</w:t>
      </w:r>
    </w:p>
    <w:p w:rsidR="00DC61B3" w:rsidRDefault="00DC61B3">
      <w:pPr>
        <w:rPr>
          <w:b/>
          <w:szCs w:val="24"/>
        </w:rPr>
      </w:pPr>
    </w:p>
    <w:p w:rsidR="00DC61B3" w:rsidRDefault="00024F95">
      <w:pPr>
        <w:ind w:firstLine="0"/>
        <w:jc w:val="center"/>
      </w:pPr>
      <w:r>
        <w:rPr>
          <w:b/>
          <w:szCs w:val="24"/>
        </w:rPr>
        <w:t>V SKYRIUS</w:t>
      </w:r>
    </w:p>
    <w:p w:rsidR="00DC61B3" w:rsidRDefault="00024F95">
      <w:pPr>
        <w:ind w:firstLine="0"/>
        <w:jc w:val="center"/>
        <w:rPr>
          <w:szCs w:val="24"/>
        </w:rPr>
      </w:pPr>
      <w:r>
        <w:rPr>
          <w:b/>
          <w:szCs w:val="24"/>
        </w:rPr>
        <w:t xml:space="preserve">PREMIJOS, PRIEMOKOS, </w:t>
      </w:r>
      <w:r>
        <w:rPr>
          <w:b/>
          <w:bCs/>
          <w:szCs w:val="24"/>
        </w:rPr>
        <w:t>DARBAS POILSIO IR ŠVENČIŲ DIENOMIS, NAKTIES IR VIRŠVALANDINIS DARBAS, BUDĖJIMAS,</w:t>
      </w:r>
      <w:r>
        <w:rPr>
          <w:szCs w:val="24"/>
        </w:rPr>
        <w:t xml:space="preserve"> </w:t>
      </w:r>
      <w:r>
        <w:rPr>
          <w:b/>
          <w:szCs w:val="24"/>
        </w:rPr>
        <w:t xml:space="preserve">MATERIALINĖS PAŠALPOS </w:t>
      </w:r>
    </w:p>
    <w:p w:rsidR="00DC61B3" w:rsidRDefault="00DC61B3">
      <w:pPr>
        <w:rPr>
          <w:szCs w:val="24"/>
        </w:rPr>
      </w:pPr>
    </w:p>
    <w:p w:rsidR="00DC61B3" w:rsidRDefault="00024F95">
      <w:pPr>
        <w:tabs>
          <w:tab w:val="left" w:pos="1134"/>
        </w:tabs>
        <w:rPr>
          <w:szCs w:val="24"/>
        </w:rPr>
      </w:pPr>
      <w:r>
        <w:rPr>
          <w:szCs w:val="24"/>
        </w:rPr>
        <w:t>21.</w:t>
      </w:r>
      <w:r>
        <w:rPr>
          <w:szCs w:val="24"/>
        </w:rPr>
        <w:tab/>
      </w:r>
      <w:r>
        <w:t xml:space="preserve">Visuotinio dalininkų susirinkimo </w:t>
      </w:r>
      <w:r>
        <w:rPr>
          <w:szCs w:val="24"/>
        </w:rPr>
        <w:t>sprendimu Inovacijų agentūros vadovui gali būti skiriamos šio priemokos:</w:t>
      </w:r>
    </w:p>
    <w:p w:rsidR="00DC61B3" w:rsidRDefault="00024F95">
      <w:pPr>
        <w:tabs>
          <w:tab w:val="left" w:pos="1276"/>
        </w:tabs>
        <w:rPr>
          <w:szCs w:val="24"/>
        </w:rPr>
      </w:pPr>
      <w:r>
        <w:rPr>
          <w:szCs w:val="24"/>
        </w:rPr>
        <w:t>21.1.</w:t>
      </w:r>
      <w:r>
        <w:rPr>
          <w:szCs w:val="24"/>
        </w:rPr>
        <w:tab/>
        <w:t>už papildomų užduočių, suformuluotų raštu, atlikimą (jei dėl to viršijamas darbo krūvis arba atliekamos pareigybės aprašyme nenustatytos funkcijos);</w:t>
      </w:r>
    </w:p>
    <w:p w:rsidR="00DC61B3" w:rsidRDefault="00024F95">
      <w:pPr>
        <w:tabs>
          <w:tab w:val="left" w:pos="1134"/>
          <w:tab w:val="left" w:pos="1276"/>
        </w:tabs>
        <w:rPr>
          <w:szCs w:val="24"/>
        </w:rPr>
      </w:pPr>
      <w:r>
        <w:rPr>
          <w:szCs w:val="24"/>
        </w:rPr>
        <w:t>21.2.</w:t>
      </w:r>
      <w:r>
        <w:rPr>
          <w:szCs w:val="24"/>
        </w:rPr>
        <w:tab/>
        <w:t>už įprastą darbo krūvį viršijančią veiklą (jei padidėjęs darbų, atliekamų pagal pareigybės aprašyme nustatytas funkcijas, mastas ir neviršijama nustatyta darbo laiko trukmė).</w:t>
      </w:r>
    </w:p>
    <w:p w:rsidR="00DC61B3" w:rsidRDefault="00024F95">
      <w:pPr>
        <w:tabs>
          <w:tab w:val="left" w:pos="1134"/>
        </w:tabs>
        <w:rPr>
          <w:szCs w:val="24"/>
        </w:rPr>
      </w:pPr>
      <w:r>
        <w:rPr>
          <w:szCs w:val="24"/>
        </w:rPr>
        <w:t>22.</w:t>
      </w:r>
      <w:r>
        <w:rPr>
          <w:szCs w:val="24"/>
        </w:rPr>
        <w:tab/>
        <w:t>Skiriama priemoka negali būti mažesnė kaip 10 procentų Inovacijų agentūros vadovo pareiginės algos. Bendra visų priemokų suma negali viršyti 80 procentų Inovacijų agentūros vadovo pareiginės algos.</w:t>
      </w:r>
    </w:p>
    <w:p w:rsidR="00DC61B3" w:rsidRDefault="00024F95">
      <w:pPr>
        <w:widowControl w:val="0"/>
        <w:tabs>
          <w:tab w:val="left" w:pos="709"/>
          <w:tab w:val="left" w:pos="1134"/>
          <w:tab w:val="left" w:pos="1418"/>
        </w:tabs>
        <w:suppressAutoHyphens w:val="0"/>
        <w:ind w:firstLine="680"/>
        <w:rPr>
          <w:szCs w:val="24"/>
          <w:lang w:eastAsia="en-US"/>
        </w:rPr>
      </w:pPr>
      <w:r>
        <w:rPr>
          <w:szCs w:val="24"/>
          <w:lang w:eastAsia="en-US"/>
        </w:rPr>
        <w:t>23. Priemokos Inovacijų agentūros vadovui skiriamos ne ilgesniam laikotarpiui nei iki einamųjų kalendorinių metų pabaigos. Priemokos mokėjimas nutraukiamas, jei išnyksta jos skyrimo aplinkybės, arba pakeičiamas, kai pasikeičia aplinkybės, kurių pagrindu priemoka buvo skirta (sumažėja papildomo darbo krūvis, papildomų pareigų ar užduočių skaičius ir pan.).</w:t>
      </w:r>
    </w:p>
    <w:p w:rsidR="00DC61B3" w:rsidRDefault="00024F95">
      <w:pPr>
        <w:rPr>
          <w:szCs w:val="24"/>
        </w:rPr>
      </w:pPr>
      <w:r>
        <w:rPr>
          <w:szCs w:val="24"/>
        </w:rPr>
        <w:t>24.</w:t>
      </w:r>
      <w:r>
        <w:rPr>
          <w:color w:val="00B050"/>
          <w:szCs w:val="24"/>
        </w:rPr>
        <w:t xml:space="preserve"> </w:t>
      </w:r>
      <w:r>
        <w:t xml:space="preserve">Visuotinio dalininkų susirinkimo </w:t>
      </w:r>
      <w:r>
        <w:rPr>
          <w:szCs w:val="24"/>
        </w:rPr>
        <w:t xml:space="preserve">sprendimu Inovacijų agentūros vadovui už išskirtinį jo indėlį įgyvendinant Inovacijų agentūros veiklos tikslus arba už pasiektus papildomus išskirtinius rezultatus pasibaigus finansiniams metams ir patvirtinus įstaigos finansinių ataskaitų rinkinius gali būti skiriama ne didesnė negu 4 Inovacijų agentūros vadovo pareiginės algos dydžių premija. </w:t>
      </w:r>
    </w:p>
    <w:p w:rsidR="00DC61B3" w:rsidRDefault="00024F95">
      <w:pPr>
        <w:rPr>
          <w:szCs w:val="24"/>
        </w:rPr>
      </w:pPr>
      <w:r>
        <w:rPr>
          <w:szCs w:val="24"/>
        </w:rPr>
        <w:t>25. Už darbą poilsio ir švenčių dienomis, nakties ir viršvalandinį darbą ar darbą, kai yra nukrypimų nuo normalių darbo sąlygų, Inovacijų agentūros vadovui mokama Darbo kodekso 144 straipsnio 1–5 ir 7 dalyse nustatyta tvarka. Už budėjimą Inovacijų agentūros vadovui mokama Darbo kodekso 118 straipsnyje nustatyta tvarka.</w:t>
      </w:r>
    </w:p>
    <w:p w:rsidR="00DC61B3" w:rsidRDefault="00024F95">
      <w:pPr>
        <w:rPr>
          <w:szCs w:val="24"/>
        </w:rPr>
      </w:pPr>
      <w:r>
        <w:rPr>
          <w:szCs w:val="24"/>
        </w:rPr>
        <w:t xml:space="preserve">26. </w:t>
      </w:r>
      <w:r>
        <w:t xml:space="preserve">Visuotinio dalininkų susirinkimo </w:t>
      </w:r>
      <w:r>
        <w:rPr>
          <w:szCs w:val="24"/>
        </w:rPr>
        <w:t>sprendimu Inovacijų agentūros vadovui iš Inovacijų agentūros lėšų gali būti skiriama iki 5 minimaliųjų mėnesinių algų dydžio materialinė pašalpa, kai materialinė būklė tampa sunki dėl jo ligos, artimųjų giminaičių, sutuoktinio, partnerio, sugyventinio, jo tėvų, vaikų (įvaikių), brolių (įbrolių) ir seserų (įseserių), taip pat išlaikytinių, kurių globėju ar rūpintoju įstatymų nustatyta tvarka yra paskirtas Inovacijų agentūros vadovas, ligos ar mirties, stichinės nelaimės ar turto netekimo, jeigu yra Inovacijų agentūros vadovo rašytinis prašymas ir pateikti atitinkami tai patvirtinantys dokumentai. Mirus Inovacijų agentūros vadovui, materialinė pašalpa išmokama jo šeimos nariams, jeigu yra mirusiojo šeimos narių rašytinis prašymas ir pateikti atitinkami Inovacijų agentūros vadovo mirties faktą patvirtinantys dokumentai.</w:t>
      </w:r>
    </w:p>
    <w:p w:rsidR="00DC61B3" w:rsidRDefault="00DC61B3">
      <w:pPr>
        <w:ind w:firstLine="0"/>
        <w:jc w:val="center"/>
        <w:rPr>
          <w:szCs w:val="24"/>
        </w:rPr>
      </w:pPr>
    </w:p>
    <w:p w:rsidR="00DC61B3" w:rsidRDefault="00024F95">
      <w:pPr>
        <w:ind w:firstLine="0"/>
        <w:jc w:val="center"/>
        <w:rPr>
          <w:b/>
          <w:szCs w:val="24"/>
        </w:rPr>
      </w:pPr>
      <w:r>
        <w:rPr>
          <w:b/>
          <w:szCs w:val="24"/>
        </w:rPr>
        <w:t>VI SKYRIUS</w:t>
      </w:r>
    </w:p>
    <w:p w:rsidR="00DC61B3" w:rsidRDefault="00024F95">
      <w:pPr>
        <w:ind w:firstLine="0"/>
        <w:jc w:val="center"/>
        <w:rPr>
          <w:szCs w:val="24"/>
        </w:rPr>
      </w:pPr>
      <w:r>
        <w:rPr>
          <w:b/>
          <w:szCs w:val="24"/>
        </w:rPr>
        <w:t xml:space="preserve">BAIGIAMOSIOS NUOSTATOS </w:t>
      </w:r>
    </w:p>
    <w:p w:rsidR="00DC61B3" w:rsidRDefault="00DC61B3">
      <w:pPr>
        <w:ind w:firstLine="0"/>
        <w:jc w:val="center"/>
        <w:rPr>
          <w:color w:val="00B050"/>
          <w:szCs w:val="24"/>
        </w:rPr>
      </w:pPr>
    </w:p>
    <w:p w:rsidR="00DC61B3" w:rsidRDefault="00024F95">
      <w:pPr>
        <w:tabs>
          <w:tab w:val="left" w:pos="709"/>
        </w:tabs>
        <w:ind w:firstLine="0"/>
        <w:rPr>
          <w:szCs w:val="24"/>
        </w:rPr>
      </w:pPr>
      <w:r>
        <w:rPr>
          <w:szCs w:val="24"/>
        </w:rPr>
        <w:tab/>
        <w:t>27. Nutraukiant darbo sutartį šalių susitarimu, išmokamų kompensacijų suma nustatoma vadovaujantis Darbo kodekso nustatyta tvarka.</w:t>
      </w:r>
    </w:p>
    <w:p w:rsidR="00DC61B3" w:rsidRDefault="00024F95">
      <w:pPr>
        <w:tabs>
          <w:tab w:val="left" w:pos="709"/>
        </w:tabs>
        <w:ind w:firstLine="709"/>
        <w:rPr>
          <w:szCs w:val="24"/>
        </w:rPr>
      </w:pPr>
      <w:r>
        <w:rPr>
          <w:szCs w:val="24"/>
        </w:rPr>
        <w:t>28. Jei Aprašo galiojimo laikotarpiu Lietuvos Respublikos įstatymais ir Lietuvos Respublikos nutarimais būtų nustatytos palankesnės garantijos nei Apraše, būtų taikomos Lietuvos Respublikos įstatymų ir Lietuvos Respublikos nutarimų nuostatos.</w:t>
      </w:r>
    </w:p>
    <w:p w:rsidR="00DC61B3" w:rsidRDefault="00024F95">
      <w:pPr>
        <w:tabs>
          <w:tab w:val="left" w:pos="709"/>
        </w:tabs>
        <w:ind w:firstLine="709"/>
      </w:pPr>
      <w:r>
        <w:rPr>
          <w:szCs w:val="24"/>
        </w:rPr>
        <w:t>29. Asmens duomenys tvarkomi, vadovaujantis 2016 m. balandžio 27 d. Europos Parlamento ir Tarybos reglamentu (ES) 2016/679 dėl fizinių asmenų apsaugos tvarkant asmens duomenis ir dėl laisvo duomenų judėjimo ir kuriuo panaikinama Direktyva 95/46/EB (Bendrasis duomenų apsaugos reglamentas) ir Lietuvos Respublikos asmens duomenų teisinės apsaugos įstatymu. Aprašo V skyriuje nurodyti ir kiti pateikti dokumentai, pagrindžiantys prašyme dėl materialinės pašalpos skyrimo nurodytas aplinkybes, saugomi bendra nustatyta dokumentų saugojimo tvarka.</w:t>
      </w:r>
    </w:p>
    <w:p w:rsidR="00DC61B3" w:rsidRDefault="00024F95">
      <w:pPr>
        <w:tabs>
          <w:tab w:val="left" w:pos="709"/>
        </w:tabs>
        <w:ind w:firstLine="709"/>
        <w:rPr>
          <w:strike/>
          <w:szCs w:val="24"/>
        </w:rPr>
      </w:pPr>
      <w:r>
        <w:rPr>
          <w:szCs w:val="24"/>
        </w:rPr>
        <w:t>30. Su Aprašu Inovacijų agentūros vadovas supažindinamas raštu. Aprašas skelbiamas viešai Inovacijų agentūros interneto svetainėje.</w:t>
      </w:r>
    </w:p>
    <w:p w:rsidR="00DC61B3" w:rsidRDefault="00024F95">
      <w:pPr>
        <w:ind w:firstLine="709"/>
        <w:rPr>
          <w:szCs w:val="24"/>
        </w:rPr>
      </w:pPr>
      <w:r>
        <w:rPr>
          <w:szCs w:val="24"/>
        </w:rPr>
        <w:t>31. Inovacijų agentūros visuotinam dalininkų susirinkimui nustačius užduotis ir veiklos rodiklius, nuo kurių įgyvendinimo priklausys Inovacijų agentūros vadovo papildomos darbo užmokesčio dalies dydis, bei praėjusių metų veiklos rodiklių pasiekimo rezultatus, Inovacijų agentūra kasmet, vadovaudamasi</w:t>
      </w:r>
      <w:r>
        <w:rPr>
          <w:color w:val="0070C0"/>
          <w:szCs w:val="24"/>
        </w:rPr>
        <w:t xml:space="preserve"> </w:t>
      </w:r>
      <w:r>
        <w:rPr>
          <w:szCs w:val="24"/>
        </w:rPr>
        <w:t>Bendrųjų reikalavimų valstybės ir savivaldybių institucijų ir įstaigų interneto svetainėms aprašo, patvirtinto Lietuvos Respublikos Vyriausybės 2003 m. balandžio 18 d. nutarimu Nr. 480 „Dėl Bendrųjų reikalavimų valstybės ir savivaldybių institucijų ir įstaigų interneto svetainėms aprašo patvirtinimo“, nustatyta tvarka šią informaciją viešai paskelbia savo interneto svetainėje tuo pačiu metu, kai skelbia vadovų ir darbuotojų darbo užmokesčio dydžius.</w:t>
      </w:r>
    </w:p>
    <w:p w:rsidR="00DC61B3" w:rsidRDefault="00024F95">
      <w:pPr>
        <w:ind w:firstLine="709"/>
        <w:rPr>
          <w:szCs w:val="24"/>
        </w:rPr>
      </w:pPr>
      <w:r>
        <w:rPr>
          <w:rFonts w:eastAsia="SimSun;宋体"/>
          <w:color w:val="000000"/>
        </w:rPr>
        <w:t xml:space="preserve">32. Aprašas </w:t>
      </w:r>
      <w:r>
        <w:t xml:space="preserve">peržiūrimas ne rečiau kaip kas dvejus metus ir pagal poreikį </w:t>
      </w:r>
      <w:r>
        <w:rPr>
          <w:rFonts w:eastAsia="SimSun;宋体"/>
          <w:color w:val="000000"/>
        </w:rPr>
        <w:t>gali būti keičiamas, papildomas, panaikinamas Inovacijų agentūros visuotinio dalininkų susirinkimo sprendimu.</w:t>
      </w:r>
    </w:p>
    <w:p w:rsidR="00DC61B3" w:rsidRDefault="00DC61B3">
      <w:pPr>
        <w:rPr>
          <w:szCs w:val="24"/>
        </w:rPr>
      </w:pPr>
    </w:p>
    <w:p w:rsidR="00DC61B3" w:rsidRDefault="00024F95">
      <w:pPr>
        <w:ind w:firstLine="0"/>
        <w:jc w:val="center"/>
        <w:rPr>
          <w:szCs w:val="24"/>
        </w:rPr>
        <w:sectPr w:rsidR="00DC61B3" w:rsidSect="00024F95">
          <w:headerReference w:type="default" r:id="rId10"/>
          <w:headerReference w:type="first" r:id="rId11"/>
          <w:pgSz w:w="11906" w:h="16838"/>
          <w:pgMar w:top="1134" w:right="566" w:bottom="1134" w:left="1701" w:header="720" w:footer="0" w:gutter="0"/>
          <w:pgNumType w:start="1"/>
          <w:cols w:space="1296"/>
          <w:formProt w:val="0"/>
          <w:titlePg/>
          <w:docGrid w:linePitch="600" w:charSpace="32768"/>
        </w:sectPr>
      </w:pPr>
      <w:r>
        <w:rPr>
          <w:szCs w:val="24"/>
        </w:rPr>
        <w:t>_________________</w:t>
      </w:r>
    </w:p>
    <w:p w:rsidR="00DC61B3" w:rsidRDefault="00024F95">
      <w:pPr>
        <w:ind w:firstLine="4962"/>
        <w:jc w:val="left"/>
      </w:pPr>
      <w:r>
        <w:rPr>
          <w:bCs/>
          <w:szCs w:val="24"/>
        </w:rPr>
        <w:t xml:space="preserve">Viešosios įstaigos </w:t>
      </w:r>
      <w:r>
        <w:t>Inovacijų agentūros</w:t>
      </w:r>
    </w:p>
    <w:p w:rsidR="00DC61B3" w:rsidRDefault="00024F95">
      <w:pPr>
        <w:ind w:left="4962" w:firstLine="0"/>
        <w:jc w:val="left"/>
        <w:rPr>
          <w:szCs w:val="24"/>
        </w:rPr>
      </w:pPr>
      <w:r>
        <w:rPr>
          <w:bCs/>
          <w:szCs w:val="24"/>
        </w:rPr>
        <w:t xml:space="preserve">vadovo darbo apmokėjimo sistemos </w:t>
      </w:r>
      <w:r>
        <w:rPr>
          <w:szCs w:val="24"/>
        </w:rPr>
        <w:t xml:space="preserve">aprašo </w:t>
      </w:r>
    </w:p>
    <w:p w:rsidR="00DC61B3" w:rsidRDefault="00024F95">
      <w:pPr>
        <w:ind w:left="4962" w:firstLine="0"/>
        <w:jc w:val="left"/>
        <w:rPr>
          <w:szCs w:val="24"/>
        </w:rPr>
      </w:pPr>
      <w:r>
        <w:rPr>
          <w:szCs w:val="24"/>
        </w:rPr>
        <w:t>priedas</w:t>
      </w:r>
    </w:p>
    <w:p w:rsidR="00DC61B3" w:rsidRDefault="00DC61B3">
      <w:pPr>
        <w:ind w:left="4962" w:firstLine="0"/>
        <w:jc w:val="left"/>
        <w:rPr>
          <w:szCs w:val="24"/>
        </w:rPr>
      </w:pPr>
    </w:p>
    <w:p w:rsidR="00DC61B3" w:rsidRDefault="00024F95">
      <w:pPr>
        <w:ind w:firstLine="0"/>
        <w:jc w:val="center"/>
        <w:rPr>
          <w:b/>
          <w:bCs/>
          <w:szCs w:val="24"/>
        </w:rPr>
      </w:pPr>
      <w:r>
        <w:rPr>
          <w:b/>
          <w:bCs/>
          <w:szCs w:val="24"/>
        </w:rPr>
        <w:t xml:space="preserve">PAREIGINĖS ALGOS KOEFICIENTO NUSTATYMO KRITERIJAI </w:t>
      </w:r>
    </w:p>
    <w:p w:rsidR="00DC61B3" w:rsidRDefault="00DC61B3">
      <w:pPr>
        <w:ind w:firstLine="0"/>
        <w:jc w:val="center"/>
        <w:rPr>
          <w:b/>
          <w:bCs/>
          <w:szCs w:val="24"/>
        </w:rPr>
      </w:pPr>
    </w:p>
    <w:p w:rsidR="00DC61B3" w:rsidRDefault="00024F95">
      <w:pPr>
        <w:ind w:firstLine="426"/>
      </w:pPr>
      <w:r>
        <w:rPr>
          <w:color w:val="000000"/>
          <w:szCs w:val="24"/>
          <w:lang w:eastAsia="lt-LT"/>
        </w:rPr>
        <w:t xml:space="preserve">Priimamo naujo Viešosios įstaigos </w:t>
      </w:r>
      <w:r>
        <w:t xml:space="preserve">Inovacijų agentūros (toliau – Inovacijų agentūra) vadovo pareiginei algai apskaičiuoti </w:t>
      </w:r>
      <w:r>
        <w:rPr>
          <w:bCs/>
          <w:szCs w:val="24"/>
        </w:rPr>
        <w:t xml:space="preserve">nustatomas minimalus koeficientas – 2,00. </w:t>
      </w:r>
      <w:r>
        <w:t xml:space="preserve"> </w:t>
      </w:r>
    </w:p>
    <w:p w:rsidR="00DC61B3" w:rsidRDefault="00024F95">
      <w:pPr>
        <w:ind w:firstLine="426"/>
      </w:pPr>
      <w:r>
        <w:rPr>
          <w:bCs/>
          <w:szCs w:val="24"/>
        </w:rPr>
        <w:t xml:space="preserve">Iki Lietuvos Respublikos viešųjų įstaigų, kurių savininkė ar dalininkė, turinti daugiau kaip pusę balsų visuotiniame dalininkų susirinkime, yra valstybė ar savivaldybė, vadovų ir darbuotojų darbo apmokėjimo įstatymo įsigaliojimo paskirto </w:t>
      </w:r>
      <w:r>
        <w:t>Inovacijų agentūros vadovo pareiginei algai apskaičiuoti nustatomas minimalus koeficientas – 2,92.</w:t>
      </w:r>
    </w:p>
    <w:p w:rsidR="00DC61B3" w:rsidRDefault="00024F95">
      <w:pPr>
        <w:ind w:firstLine="426"/>
      </w:pPr>
      <w:r>
        <w:t>Minimalus koeficientas gali būti padidintas, jei tenkinami toliau nurodyti kriterijai:</w:t>
      </w:r>
    </w:p>
    <w:p w:rsidR="00DC61B3" w:rsidRDefault="00DC61B3">
      <w:pPr>
        <w:ind w:firstLine="0"/>
      </w:pPr>
    </w:p>
    <w:tbl>
      <w:tblPr>
        <w:tblW w:w="9692" w:type="dxa"/>
        <w:tblInd w:w="-113" w:type="dxa"/>
        <w:tblLayout w:type="fixed"/>
        <w:tblLook w:val="0000" w:firstRow="0" w:lastRow="0" w:firstColumn="0" w:lastColumn="0" w:noHBand="0" w:noVBand="0"/>
      </w:tblPr>
      <w:tblGrid>
        <w:gridCol w:w="556"/>
        <w:gridCol w:w="7349"/>
        <w:gridCol w:w="1787"/>
      </w:tblGrid>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rPr>
                <w:b/>
                <w:bCs/>
              </w:rPr>
            </w:pPr>
            <w:bookmarkStart w:id="7" w:name="_Hlk156920784"/>
            <w:bookmarkEnd w:id="7"/>
            <w:r>
              <w:rPr>
                <w:b/>
                <w:bCs/>
              </w:rPr>
              <w:t>Nr.</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rPr>
                <w:b/>
                <w:bCs/>
              </w:rPr>
            </w:pPr>
            <w:r>
              <w:rPr>
                <w:b/>
                <w:bCs/>
              </w:rPr>
              <w:t>Kriterijus</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rPr>
                <w:b/>
                <w:bCs/>
              </w:rPr>
            </w:pPr>
            <w:r>
              <w:rPr>
                <w:b/>
                <w:bCs/>
              </w:rPr>
              <w:t>Dydis</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center"/>
            </w:pPr>
            <w:r>
              <w:t>1.</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left"/>
            </w:pPr>
            <w:r>
              <w:t>Inovacijų agentūra vertinimo metu veikia vienoje srityje</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pPr>
            <w:r>
              <w:t>0</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center"/>
            </w:pPr>
            <w:r>
              <w:t>2.</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left"/>
            </w:pPr>
            <w:r>
              <w:t>Inovacijų agentūra vertinimo metu veikia dviejose srityse</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pPr>
            <w:r>
              <w:t>0,10–0,</w:t>
            </w:r>
            <w:r>
              <w:rPr>
                <w:lang w:val="en-US"/>
              </w:rPr>
              <w:t>2</w:t>
            </w:r>
            <w:r>
              <w:t>0</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center"/>
            </w:pPr>
            <w:r>
              <w:t>3.</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left"/>
            </w:pPr>
            <w:r>
              <w:t>Inovacijų agentūra vertinimo metu veikia daugiau nei dviejose srityse</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pPr>
            <w:r>
              <w:t>0,21–0,40</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center"/>
            </w:pPr>
            <w:r>
              <w:t>4.</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left"/>
            </w:pPr>
            <w:r>
              <w:t>Inovacijų agentūros vadovas</w:t>
            </w:r>
            <w:r>
              <w:rPr>
                <w:vertAlign w:val="superscript"/>
              </w:rPr>
              <w:t>*</w:t>
            </w:r>
            <w:r>
              <w:t xml:space="preserve"> neturi vadovavimo juridiniam subjektui patirties ir nėra buvęs valdymo organo nariu</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pPr>
            <w:r>
              <w:t>0</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center"/>
            </w:pPr>
            <w:r>
              <w:t>5.</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318"/>
              </w:tabs>
              <w:ind w:firstLine="0"/>
              <w:jc w:val="left"/>
            </w:pPr>
            <w:r>
              <w:t>Inovacijų agentūros vadovas</w:t>
            </w:r>
            <w:r>
              <w:rPr>
                <w:vertAlign w:val="superscript"/>
              </w:rPr>
              <w:t>*</w:t>
            </w:r>
            <w:r>
              <w:t xml:space="preserve">  turi vadovavimo juridiniam subjektui patirties arba yra buvęs juridinio valdymo organo nariu (taikoma, jei minimo juridinio asmens darbuotojų skaičius arba pajamos buvo ne mažesnės nei 80 procentų Inovacijų agentūros darbuotojų skaičiaus arba pajamų vertinimo metu) </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pPr>
            <w:r>
              <w:t>0,10–0,30</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center"/>
            </w:pPr>
            <w:r>
              <w:t>6.</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left"/>
            </w:pPr>
            <w:r>
              <w:t>Inovacijų agentūros vadovo</w:t>
            </w:r>
            <w:r>
              <w:rPr>
                <w:vertAlign w:val="superscript"/>
              </w:rPr>
              <w:t>*</w:t>
            </w:r>
            <w:r>
              <w:t xml:space="preserve"> išsilavinimas arba darbo patirtis tiesiogiai susijusi su Inovacijų agentūros įstatuose nustatyta Inovacijų agentūros veiklos sritimi (sritimis) </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pPr>
            <w:r>
              <w:t>iki 0,30</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center"/>
            </w:pPr>
            <w:r>
              <w:t>7.</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left"/>
            </w:pPr>
            <w:r>
              <w:t>Nustatoma, kad rinkoje analogiško lygio (pagal darbuotojų skaičių ir pajamas arba veiklos sritis) vadovų atlyginimai yra didesni nei Inovacijų agentūros vadovo</w:t>
            </w:r>
            <w:r>
              <w:rPr>
                <w:vertAlign w:val="superscript"/>
              </w:rPr>
              <w:t xml:space="preserve">* </w:t>
            </w:r>
            <w:r>
              <w:t>pareiginis atlyginimas, apskaičiuotas pagal minimalų koeficientą</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pPr>
            <w:r>
              <w:t>iki 0,38</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center"/>
            </w:pPr>
            <w:r>
              <w:t>8.</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left"/>
            </w:pPr>
            <w:r>
              <w:t>Inovacijų agentūra vertinimo metu veiklą vykdo šalies mastu</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pPr>
            <w:r>
              <w:t>0</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center"/>
            </w:pPr>
            <w:r>
              <w:t>9.</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left"/>
            </w:pPr>
            <w:r>
              <w:t>Inovacijų agentūra vertinimo metu veiklą vykdo šalies ir tarptautiniu mastu</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rPr>
                <w:color w:val="FF0000"/>
              </w:rPr>
            </w:pPr>
            <w:r>
              <w:t>0,10–0,</w:t>
            </w:r>
            <w:r>
              <w:rPr>
                <w:lang w:val="en-US"/>
              </w:rPr>
              <w:t>2</w:t>
            </w:r>
            <w:r>
              <w:t>0</w:t>
            </w:r>
          </w:p>
        </w:tc>
      </w:tr>
      <w:tr w:rsidR="00DC61B3">
        <w:tc>
          <w:tcPr>
            <w:tcW w:w="556"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center"/>
              <w:rPr>
                <w:highlight w:val="yellow"/>
              </w:rPr>
            </w:pPr>
            <w:r>
              <w:t>10.</w:t>
            </w:r>
          </w:p>
        </w:tc>
        <w:tc>
          <w:tcPr>
            <w:tcW w:w="7349" w:type="dxa"/>
            <w:tcBorders>
              <w:top w:val="single" w:sz="4" w:space="0" w:color="000000"/>
              <w:left w:val="single" w:sz="4" w:space="0" w:color="000000"/>
              <w:bottom w:val="single" w:sz="4" w:space="0" w:color="000000"/>
              <w:right w:val="single" w:sz="4" w:space="0" w:color="000000"/>
            </w:tcBorders>
          </w:tcPr>
          <w:p w:rsidR="00DC61B3" w:rsidRDefault="00024F95">
            <w:pPr>
              <w:tabs>
                <w:tab w:val="left" w:pos="709"/>
              </w:tabs>
              <w:ind w:firstLine="0"/>
              <w:jc w:val="left"/>
            </w:pPr>
            <w:r>
              <w:t xml:space="preserve">Teikiant komercines paslaugas gautomis pajamomis padengiama ne mažiau kaip 30 proc. įstaigos sąnaudų </w:t>
            </w:r>
          </w:p>
        </w:tc>
        <w:tc>
          <w:tcPr>
            <w:tcW w:w="1787" w:type="dxa"/>
            <w:tcBorders>
              <w:top w:val="single" w:sz="4" w:space="0" w:color="000000"/>
              <w:left w:val="single" w:sz="4" w:space="0" w:color="000000"/>
              <w:bottom w:val="single" w:sz="4" w:space="0" w:color="000000"/>
              <w:right w:val="single" w:sz="4" w:space="0" w:color="000000"/>
            </w:tcBorders>
          </w:tcPr>
          <w:p w:rsidR="00DC61B3" w:rsidRDefault="00024F95">
            <w:pPr>
              <w:ind w:firstLine="0"/>
              <w:jc w:val="center"/>
              <w:rPr>
                <w:color w:val="FF0000"/>
              </w:rPr>
            </w:pPr>
            <w:r>
              <w:t>0,10–0,40</w:t>
            </w:r>
          </w:p>
        </w:tc>
      </w:tr>
    </w:tbl>
    <w:p w:rsidR="00DC61B3" w:rsidRDefault="00024F95">
      <w:pPr>
        <w:ind w:firstLine="0"/>
        <w:jc w:val="left"/>
      </w:pPr>
      <w:r>
        <w:rPr>
          <w:b/>
          <w:bCs/>
        </w:rPr>
        <w:t xml:space="preserve">Pastaba. </w:t>
      </w:r>
      <w:r>
        <w:rPr>
          <w:vertAlign w:val="superscript"/>
        </w:rPr>
        <w:t>*</w:t>
      </w:r>
      <w:r>
        <w:t>Taikoma tiek jau paskirtam, tiek skiriamam naujam vadovui.</w:t>
      </w:r>
    </w:p>
    <w:p w:rsidR="00DC61B3" w:rsidRDefault="00DC61B3">
      <w:pPr>
        <w:ind w:firstLine="0"/>
        <w:jc w:val="left"/>
        <w:rPr>
          <w:b/>
          <w:bCs/>
        </w:rPr>
      </w:pPr>
    </w:p>
    <w:p w:rsidR="00DC61B3" w:rsidRDefault="00024F95">
      <w:pPr>
        <w:ind w:firstLine="0"/>
        <w:jc w:val="center"/>
      </w:pPr>
      <w:r>
        <w:t>_______________</w:t>
      </w:r>
    </w:p>
    <w:p w:rsidR="00DC61B3" w:rsidRDefault="00DC61B3">
      <w:pPr>
        <w:ind w:firstLine="0"/>
        <w:jc w:val="center"/>
      </w:pPr>
    </w:p>
    <w:p w:rsidR="00DC61B3" w:rsidRDefault="00DC61B3">
      <w:pPr>
        <w:ind w:firstLine="0"/>
        <w:jc w:val="left"/>
      </w:pPr>
    </w:p>
    <w:p w:rsidR="00DC61B3" w:rsidRDefault="00DC61B3">
      <w:pPr>
        <w:ind w:firstLine="0"/>
        <w:jc w:val="left"/>
      </w:pPr>
    </w:p>
    <w:p w:rsidR="00DC61B3" w:rsidRDefault="00DC61B3">
      <w:pPr>
        <w:ind w:firstLine="0"/>
        <w:jc w:val="left"/>
      </w:pPr>
    </w:p>
    <w:p w:rsidR="00DC61B3" w:rsidRDefault="00DC61B3">
      <w:pPr>
        <w:ind w:firstLine="0"/>
        <w:jc w:val="left"/>
      </w:pPr>
    </w:p>
    <w:p w:rsidR="00DC61B3" w:rsidRDefault="00DC61B3">
      <w:pPr>
        <w:ind w:firstLine="0"/>
        <w:jc w:val="left"/>
      </w:pPr>
    </w:p>
    <w:p w:rsidR="00DC61B3" w:rsidRDefault="00DC61B3">
      <w:pPr>
        <w:ind w:firstLine="0"/>
        <w:jc w:val="left"/>
      </w:pPr>
    </w:p>
    <w:p w:rsidR="00DC61B3" w:rsidRDefault="00DC61B3">
      <w:pPr>
        <w:ind w:firstLine="0"/>
        <w:jc w:val="left"/>
      </w:pPr>
    </w:p>
    <w:sectPr w:rsidR="00DC61B3">
      <w:headerReference w:type="default" r:id="rId12"/>
      <w:headerReference w:type="first" r:id="rId13"/>
      <w:pgSz w:w="11906" w:h="16838"/>
      <w:pgMar w:top="1134" w:right="566" w:bottom="1134" w:left="1701" w:header="720" w:footer="0" w:gutter="0"/>
      <w:pgNumType w:start="1"/>
      <w:cols w:space="1296"/>
      <w:formProt w:val="0"/>
      <w:titlePg/>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C0769" w:rsidRDefault="00DC0769">
      <w:r>
        <w:separator/>
      </w:r>
    </w:p>
  </w:endnote>
  <w:endnote w:type="continuationSeparator" w:id="0">
    <w:p w:rsidR="00DC0769" w:rsidRDefault="00DC0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Liberation Serif">
    <w:altName w:val="Times New Roman"/>
    <w:charset w:val="BA"/>
    <w:family w:val="roman"/>
    <w:pitch w:val="variable"/>
  </w:font>
  <w:font w:name="NSimSun">
    <w:panose1 w:val="02010609030101010101"/>
    <w:charset w:val="00"/>
    <w:family w:val="roman"/>
    <w:notTrueType/>
    <w:pitch w:val="default"/>
  </w:font>
  <w:font w:name="Lucida Sans">
    <w:panose1 w:val="020B0602030504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Liberation Sans">
    <w:altName w:val="Arial"/>
    <w:charset w:val="BA"/>
    <w:family w:val="swiss"/>
    <w:pitch w:val="variable"/>
  </w:font>
  <w:font w:name="Microsoft YaHei">
    <w:panose1 w:val="020B0503020204020204"/>
    <w:charset w:val="00"/>
    <w:family w:val="roman"/>
    <w:notTrueType/>
    <w:pitch w:val="default"/>
  </w:font>
  <w:font w:name="Arial">
    <w:panose1 w:val="020B0604020202020204"/>
    <w:charset w:val="BA"/>
    <w:family w:val="swiss"/>
    <w:pitch w:val="variable"/>
    <w:sig w:usb0="E0002EFF" w:usb1="C000785B" w:usb2="00000009" w:usb3="00000000" w:csb0="000001FF" w:csb1="00000000"/>
  </w:font>
  <w:font w:name="SimSun;宋体">
    <w:panose1 w:val="00000000000000000000"/>
    <w:charset w:val="8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C0769" w:rsidRDefault="00DC0769">
      <w:r>
        <w:separator/>
      </w:r>
    </w:p>
  </w:footnote>
  <w:footnote w:type="continuationSeparator" w:id="0">
    <w:p w:rsidR="00DC0769" w:rsidRDefault="00DC07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61B3" w:rsidRDefault="00024F95">
    <w:pPr>
      <w:pStyle w:val="Header"/>
      <w:ind w:firstLine="0"/>
      <w:jc w:val="center"/>
    </w:pPr>
    <w:r>
      <w:fldChar w:fldCharType="begin"/>
    </w:r>
    <w:r>
      <w:instrText xml:space="preserve"> PAGE </w:instrText>
    </w:r>
    <w:r>
      <w:fldChar w:fldCharType="separate"/>
    </w:r>
    <w:r>
      <w:t>2</w:t>
    </w:r>
    <w:r>
      <w:fldChar w:fldCharType="end"/>
    </w:r>
  </w:p>
  <w:p w:rsidR="00DC61B3" w:rsidRDefault="00DC61B3">
    <w:pPr>
      <w:pStyle w:val="Header"/>
      <w:ind w:firstLine="0"/>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61B3" w:rsidRDefault="00DC61B3">
    <w:pPr>
      <w:jc w:val="right"/>
      <w:rPr>
        <w:b/>
        <w:b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61B3" w:rsidRDefault="00024F95">
    <w:pPr>
      <w:pStyle w:val="Header"/>
      <w:ind w:firstLine="0"/>
      <w:jc w:val="center"/>
    </w:pPr>
    <w:r>
      <w:fldChar w:fldCharType="begin"/>
    </w:r>
    <w:r>
      <w:instrText xml:space="preserve"> PAGE </w:instrText>
    </w:r>
    <w:r>
      <w:fldChar w:fldCharType="separate"/>
    </w:r>
    <w:r>
      <w:t>4</w:t>
    </w:r>
    <w:r>
      <w:fldChar w:fldCharType="end"/>
    </w:r>
  </w:p>
  <w:p w:rsidR="00DC61B3" w:rsidRDefault="00DC61B3">
    <w:pPr>
      <w:pStyle w:val="Header"/>
      <w:ind w:firstLine="0"/>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61B3" w:rsidRDefault="00DC61B3">
    <w:pPr>
      <w:jc w:val="right"/>
      <w:rPr>
        <w:b/>
        <w:bCs/>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61B3" w:rsidRDefault="00024F95">
    <w:pPr>
      <w:pStyle w:val="Header"/>
      <w:ind w:firstLine="0"/>
      <w:jc w:val="center"/>
    </w:pPr>
    <w:r>
      <w:fldChar w:fldCharType="begin"/>
    </w:r>
    <w:r>
      <w:instrText xml:space="preserve"> PAGE </w:instrText>
    </w:r>
    <w:r>
      <w:fldChar w:fldCharType="separate"/>
    </w:r>
    <w:r>
      <w:t>2</w:t>
    </w:r>
    <w:r>
      <w:fldChar w:fldCharType="end"/>
    </w:r>
  </w:p>
  <w:p w:rsidR="00DC61B3" w:rsidRDefault="00DC61B3">
    <w:pPr>
      <w:pStyle w:val="Header"/>
      <w:ind w:firstLine="0"/>
      <w:jc w:val="cent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61B3" w:rsidRDefault="00DC61B3">
    <w:pPr>
      <w:jc w:val="right"/>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562C6D"/>
    <w:multiLevelType w:val="multilevel"/>
    <w:tmpl w:val="3D86CC1C"/>
    <w:lvl w:ilvl="0">
      <w:start w:val="1"/>
      <w:numFmt w:val="decimal"/>
      <w:lvlText w:val="%1."/>
      <w:lvlJc w:val="left"/>
      <w:pPr>
        <w:tabs>
          <w:tab w:val="num" w:pos="0"/>
        </w:tabs>
        <w:ind w:left="802" w:hanging="372"/>
      </w:pPr>
      <w:rPr>
        <w:rFonts w:ascii="Times New Roman" w:eastAsia="Times New Roman" w:hAnsi="Times New Roman" w:cs="Times New Roman"/>
        <w:w w:val="100"/>
        <w:sz w:val="24"/>
        <w:szCs w:val="24"/>
        <w:lang w:val="lt-LT" w:bidi="ar-S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07955B7"/>
    <w:multiLevelType w:val="multilevel"/>
    <w:tmpl w:val="1584D6BA"/>
    <w:lvl w:ilvl="0">
      <w:start w:val="1"/>
      <w:numFmt w:val="none"/>
      <w:pStyle w:val="Heading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16cid:durableId="223835268">
    <w:abstractNumId w:val="1"/>
  </w:num>
  <w:num w:numId="2" w16cid:durableId="4167093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1" w:cryptProviderType="rsaAES" w:cryptAlgorithmClass="hash" w:cryptAlgorithmType="typeAny" w:cryptAlgorithmSid="14" w:cryptSpinCount="100000" w:hash="KP2IipSGWagoEPyGGzpmC02wgV+vZN8ylSDa94/cMVMaeuRb+vEcNa9fLTu/dRxgdlqfazrwjNuOkOIiIG1y4g==" w:salt="xLTKf+wzrt25GEPcVuof/Q=="/>
  <w:defaultTabStop w:val="720"/>
  <w:autoHyphenation/>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61B3"/>
    <w:rsid w:val="00024F95"/>
    <w:rsid w:val="005C3145"/>
    <w:rsid w:val="00DC0769"/>
    <w:rsid w:val="00DC61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28B1CD1"/>
  <w15:docId w15:val="{21E4351C-E7EB-42C3-A412-ABA18E0AE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sz w:val="24"/>
        <w:szCs w:val="24"/>
        <w:lang w:val="lt-LT"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ind w:firstLine="720"/>
      <w:jc w:val="both"/>
    </w:pPr>
    <w:rPr>
      <w:rFonts w:ascii="Times New Roman" w:eastAsia="Times New Roman" w:hAnsi="Times New Roman" w:cs="Times New Roman"/>
      <w:szCs w:val="20"/>
      <w:lang w:bidi="ar-SA"/>
    </w:rPr>
  </w:style>
  <w:style w:type="paragraph" w:styleId="Heading1">
    <w:name w:val="heading 1"/>
    <w:basedOn w:val="Normal"/>
    <w:next w:val="BodyText"/>
    <w:uiPriority w:val="9"/>
    <w:qFormat/>
    <w:pPr>
      <w:keepNext/>
      <w:numPr>
        <w:numId w:val="1"/>
      </w:numPr>
      <w:spacing w:line="100" w:lineRule="atLeast"/>
      <w:ind w:left="0" w:firstLine="0"/>
      <w:jc w:val="center"/>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2z0">
    <w:name w:val="WW8Num2z0"/>
    <w:qFormat/>
    <w:rPr>
      <w:rFonts w:ascii="Times New Roman" w:eastAsia="Times New Roman" w:hAnsi="Times New Roman" w:cs="Times New Roman"/>
      <w:b/>
      <w:bCs/>
      <w:w w:val="99"/>
      <w:sz w:val="24"/>
      <w:szCs w:val="24"/>
      <w:lang w:val="lt-LT" w:bidi="ar-SA"/>
    </w:rPr>
  </w:style>
  <w:style w:type="character" w:customStyle="1" w:styleId="WW8Num2z1">
    <w:name w:val="WW8Num2z1"/>
    <w:qFormat/>
    <w:rPr>
      <w:lang w:val="lt-LT" w:bidi="ar-SA"/>
    </w:rPr>
  </w:style>
  <w:style w:type="character" w:customStyle="1" w:styleId="WW8Num3z0">
    <w:name w:val="WW8Num3z0"/>
    <w:qFormat/>
    <w:rPr>
      <w:rFonts w:ascii="Times New Roman" w:eastAsia="Times New Roman" w:hAnsi="Times New Roman" w:cs="Times New Roman"/>
      <w:w w:val="100"/>
      <w:sz w:val="24"/>
      <w:szCs w:val="24"/>
      <w:lang w:val="lt-LT" w:bidi="ar-SA"/>
    </w:rPr>
  </w:style>
  <w:style w:type="character" w:customStyle="1" w:styleId="WW8Num3z1">
    <w:name w:val="WW8Num3z1"/>
    <w:qFormat/>
    <w:rPr>
      <w:lang w:val="lt-LT" w:bidi="ar-SA"/>
    </w:rPr>
  </w:style>
  <w:style w:type="character" w:customStyle="1" w:styleId="WW8Num4z0">
    <w:name w:val="WW8Num4z0"/>
    <w:qFormat/>
    <w:rPr>
      <w:rFonts w:ascii="Times New Roman" w:eastAsia="Times New Roman" w:hAnsi="Times New Roman" w:cs="Times New Roman"/>
    </w:rPr>
  </w:style>
  <w:style w:type="character" w:customStyle="1" w:styleId="WW8Num4z1">
    <w:name w:val="WW8Num4z1"/>
    <w:qFormat/>
  </w:style>
  <w:style w:type="character" w:customStyle="1" w:styleId="WW8Num5z0">
    <w:name w:val="WW8Num5z0"/>
    <w:qFormat/>
    <w:rPr>
      <w:rFonts w:ascii="Symbol" w:eastAsia="Times New Roman" w:hAnsi="Symbol" w:cs="Times New Roman"/>
      <w:b w:val="0"/>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5z3">
    <w:name w:val="WW8Num5z3"/>
    <w:qFormat/>
    <w:rPr>
      <w:rFonts w:ascii="Symbol" w:hAnsi="Symbol" w:cs="Symbol"/>
    </w:rPr>
  </w:style>
  <w:style w:type="character" w:customStyle="1" w:styleId="WW8Num6z0">
    <w:name w:val="WW8Num6z0"/>
    <w:qFormat/>
    <w:rPr>
      <w:rFonts w:ascii="Symbol" w:eastAsia="Times New Roman" w:hAnsi="Symbol" w:cs="Times New Roman"/>
    </w:rPr>
  </w:style>
  <w:style w:type="character" w:customStyle="1" w:styleId="WW8Num6z1">
    <w:name w:val="WW8Num6z1"/>
    <w:qFormat/>
    <w:rPr>
      <w:rFonts w:ascii="Courier New" w:hAnsi="Courier New" w:cs="Courier New"/>
    </w:rPr>
  </w:style>
  <w:style w:type="character" w:customStyle="1" w:styleId="WW8Num6z2">
    <w:name w:val="WW8Num6z2"/>
    <w:qFormat/>
    <w:rPr>
      <w:rFonts w:ascii="Wingdings" w:hAnsi="Wingdings" w:cs="Wingdings"/>
    </w:rPr>
  </w:style>
  <w:style w:type="character" w:customStyle="1" w:styleId="WW8Num6z3">
    <w:name w:val="WW8Num6z3"/>
    <w:qFormat/>
    <w:rPr>
      <w:rFonts w:ascii="Symbol" w:hAnsi="Symbol" w:cs="Symbol"/>
    </w:rPr>
  </w:style>
  <w:style w:type="character" w:customStyle="1" w:styleId="WW8Num7z0">
    <w:name w:val="WW8Num7z0"/>
    <w:qFormat/>
  </w:style>
  <w:style w:type="character" w:customStyle="1" w:styleId="WW8Num8z0">
    <w:name w:val="WW8Num8z0"/>
    <w:qFormat/>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DefaultParagraphFont1">
    <w:name w:val="Default Paragraph Font1"/>
    <w:qFormat/>
  </w:style>
  <w:style w:type="character" w:styleId="PageNumber">
    <w:name w:val="page number"/>
    <w:basedOn w:val="DefaultParagraphFont1"/>
    <w:qFormat/>
  </w:style>
  <w:style w:type="character" w:customStyle="1" w:styleId="BodyTextChar">
    <w:name w:val="Body Text Char"/>
    <w:qFormat/>
    <w:rPr>
      <w:rFonts w:ascii="TimesLT;Times New Roman" w:hAnsi="TimesLT;Times New Roman" w:cs="TimesLT;Times New Roman"/>
      <w:lang w:val="en-US"/>
    </w:rPr>
  </w:style>
  <w:style w:type="character" w:customStyle="1" w:styleId="BalloonTextChar">
    <w:name w:val="Balloon Text Char"/>
    <w:qFormat/>
    <w:rPr>
      <w:rFonts w:ascii="Tahoma" w:hAnsi="Tahoma" w:cs="Tahoma"/>
      <w:sz w:val="16"/>
      <w:szCs w:val="16"/>
    </w:rPr>
  </w:style>
  <w:style w:type="character" w:customStyle="1" w:styleId="Heading1Char">
    <w:name w:val="Heading 1 Char"/>
    <w:qFormat/>
    <w:rPr>
      <w:sz w:val="24"/>
    </w:rPr>
  </w:style>
  <w:style w:type="character" w:customStyle="1" w:styleId="Numeravimoenklai">
    <w:name w:val="Numeravimo ženklai"/>
    <w:qFormat/>
  </w:style>
  <w:style w:type="character" w:customStyle="1" w:styleId="BalloonTextChar1">
    <w:name w:val="Balloon Text Char1"/>
    <w:qFormat/>
    <w:rPr>
      <w:rFonts w:ascii="Segoe UI" w:hAnsi="Segoe UI" w:cs="Segoe UI"/>
      <w:sz w:val="18"/>
      <w:szCs w:val="18"/>
    </w:rPr>
  </w:style>
  <w:style w:type="character" w:customStyle="1" w:styleId="HeaderChar">
    <w:name w:val="Header Char"/>
    <w:qFormat/>
    <w:rPr>
      <w:sz w:val="24"/>
    </w:rPr>
  </w:style>
  <w:style w:type="character" w:styleId="CommentReference">
    <w:name w:val="annotation reference"/>
    <w:qFormat/>
    <w:rPr>
      <w:sz w:val="16"/>
      <w:szCs w:val="16"/>
    </w:rPr>
  </w:style>
  <w:style w:type="character" w:customStyle="1" w:styleId="CommentTextChar">
    <w:name w:val="Comment Text Char"/>
    <w:qFormat/>
  </w:style>
  <w:style w:type="character" w:customStyle="1" w:styleId="CommentSubjectChar">
    <w:name w:val="Comment Subject Char"/>
    <w:qFormat/>
    <w:rPr>
      <w:b/>
      <w:bCs/>
    </w:rPr>
  </w:style>
  <w:style w:type="character" w:customStyle="1" w:styleId="FootnoteTextChar">
    <w:name w:val="Footnote Text Char"/>
    <w:qFormat/>
  </w:style>
  <w:style w:type="character" w:customStyle="1" w:styleId="FootnoteCharacters">
    <w:name w:val="Footnote Characters"/>
    <w:qFormat/>
    <w:rPr>
      <w:vertAlign w:val="superscript"/>
    </w:rPr>
  </w:style>
  <w:style w:type="character" w:styleId="Hyperlink">
    <w:name w:val="Hyperlink"/>
    <w:rPr>
      <w:color w:val="0563C1"/>
      <w:u w:val="single"/>
    </w:rPr>
  </w:style>
  <w:style w:type="character" w:styleId="UnresolvedMention">
    <w:name w:val="Unresolved Mention"/>
    <w:qFormat/>
    <w:rPr>
      <w:color w:val="605E5C"/>
      <w:shd w:val="clear" w:color="auto" w:fill="E1DFDD"/>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ind w:firstLine="312"/>
    </w:pPr>
    <w:rPr>
      <w:rFonts w:ascii="TimesLT;Times New Roman" w:hAnsi="TimesLT;Times New Roman" w:cs="TimesLT;Times New Roman"/>
      <w:lang w:val="en-US"/>
    </w:rPr>
  </w:style>
  <w:style w:type="paragraph" w:styleId="List">
    <w:name w:val="List"/>
    <w:basedOn w:val="BodyText"/>
    <w:rPr>
      <w:rFonts w:cs="Arial"/>
    </w:rPr>
  </w:style>
  <w:style w:type="paragraph" w:styleId="Caption">
    <w:name w:val="caption"/>
    <w:basedOn w:val="Normal"/>
    <w:qFormat/>
    <w:pPr>
      <w:suppressLineNumbers/>
      <w:spacing w:before="120" w:after="120"/>
    </w:pPr>
    <w:rPr>
      <w:rFonts w:cs="Lucida Sans"/>
      <w:i/>
      <w:iCs/>
      <w:szCs w:val="24"/>
    </w:rPr>
  </w:style>
  <w:style w:type="paragraph" w:customStyle="1" w:styleId="Index">
    <w:name w:val="Index"/>
    <w:basedOn w:val="Normal"/>
    <w:qFormat/>
    <w:pPr>
      <w:suppressLineNumbers/>
    </w:pPr>
    <w:rPr>
      <w:rFonts w:cs="Lucida Sans"/>
    </w:rPr>
  </w:style>
  <w:style w:type="paragraph" w:customStyle="1" w:styleId="Antrat1">
    <w:name w:val="Antraštė1"/>
    <w:basedOn w:val="Normal"/>
    <w:next w:val="BodyText"/>
    <w:qFormat/>
    <w:pPr>
      <w:keepNext/>
      <w:spacing w:before="240" w:after="120"/>
    </w:pPr>
    <w:rPr>
      <w:rFonts w:ascii="Arial" w:eastAsia="Microsoft YaHei" w:hAnsi="Arial" w:cs="Arial"/>
      <w:sz w:val="28"/>
      <w:szCs w:val="28"/>
    </w:rPr>
  </w:style>
  <w:style w:type="paragraph" w:customStyle="1" w:styleId="Pavadinimas1">
    <w:name w:val="Pavadinimas1"/>
    <w:basedOn w:val="Normal"/>
    <w:qFormat/>
    <w:pPr>
      <w:suppressLineNumbers/>
      <w:spacing w:before="120" w:after="120"/>
    </w:pPr>
    <w:rPr>
      <w:rFonts w:cs="Arial"/>
      <w:i/>
      <w:iCs/>
      <w:szCs w:val="24"/>
    </w:rPr>
  </w:style>
  <w:style w:type="paragraph" w:customStyle="1" w:styleId="Rodykl">
    <w:name w:val="Rodyklė"/>
    <w:basedOn w:val="Normal"/>
    <w:qFormat/>
    <w:pPr>
      <w:suppressLineNumbers/>
    </w:pPr>
    <w:rPr>
      <w:rFonts w:cs="Arial"/>
    </w:rPr>
  </w:style>
  <w:style w:type="paragraph" w:customStyle="1" w:styleId="HeaderandFooter">
    <w:name w:val="Header and Footer"/>
    <w:basedOn w:val="Normal"/>
    <w:qFormat/>
    <w:pPr>
      <w:suppressLineNumbers/>
      <w:tabs>
        <w:tab w:val="center" w:pos="4819"/>
        <w:tab w:val="right" w:pos="9638"/>
      </w:tabs>
    </w:pPr>
  </w:style>
  <w:style w:type="paragraph" w:styleId="Header">
    <w:name w:val="header"/>
    <w:basedOn w:val="Normal"/>
    <w:pPr>
      <w:suppressLineNumbers/>
      <w:tabs>
        <w:tab w:val="center" w:pos="4153"/>
        <w:tab w:val="right" w:pos="8306"/>
      </w:tabs>
    </w:pPr>
  </w:style>
  <w:style w:type="paragraph" w:styleId="Footer">
    <w:name w:val="footer"/>
    <w:basedOn w:val="Normal"/>
    <w:pPr>
      <w:suppressLineNumbers/>
      <w:tabs>
        <w:tab w:val="center" w:pos="4153"/>
        <w:tab w:val="right" w:pos="8306"/>
      </w:tabs>
    </w:pPr>
  </w:style>
  <w:style w:type="paragraph" w:customStyle="1" w:styleId="BalloonText1">
    <w:name w:val="Balloon Text1"/>
    <w:basedOn w:val="Normal"/>
    <w:qFormat/>
    <w:rPr>
      <w:rFonts w:ascii="Tahoma" w:hAnsi="Tahoma" w:cs="Tahoma"/>
      <w:sz w:val="16"/>
      <w:szCs w:val="16"/>
    </w:rPr>
  </w:style>
  <w:style w:type="paragraph" w:styleId="BalloonText">
    <w:name w:val="Balloon Text"/>
    <w:basedOn w:val="Normal"/>
    <w:qFormat/>
    <w:rPr>
      <w:rFonts w:ascii="Segoe UI" w:hAnsi="Segoe UI" w:cs="Segoe UI"/>
      <w:sz w:val="18"/>
      <w:szCs w:val="18"/>
    </w:rPr>
  </w:style>
  <w:style w:type="paragraph" w:styleId="CommentText">
    <w:name w:val="annotation text"/>
    <w:basedOn w:val="Normal"/>
    <w:qFormat/>
    <w:rPr>
      <w:sz w:val="20"/>
    </w:rPr>
  </w:style>
  <w:style w:type="paragraph" w:styleId="CommentSubject">
    <w:name w:val="annotation subject"/>
    <w:basedOn w:val="CommentText"/>
    <w:next w:val="CommentText"/>
    <w:qFormat/>
    <w:rPr>
      <w:b/>
      <w:bCs/>
    </w:rPr>
  </w:style>
  <w:style w:type="paragraph" w:styleId="Revision">
    <w:name w:val="Revision"/>
    <w:qFormat/>
    <w:rPr>
      <w:rFonts w:ascii="Times New Roman" w:eastAsia="Times New Roman" w:hAnsi="Times New Roman" w:cs="Times New Roman"/>
      <w:szCs w:val="20"/>
      <w:lang w:bidi="ar-SA"/>
    </w:rPr>
  </w:style>
  <w:style w:type="paragraph" w:styleId="FootnoteText">
    <w:name w:val="footnote text"/>
    <w:basedOn w:val="Normal"/>
    <w:rPr>
      <w:sz w:val="20"/>
    </w:rPr>
  </w:style>
  <w:style w:type="paragraph" w:styleId="ListParagraph">
    <w:name w:val="List Paragraph"/>
    <w:basedOn w:val="Normal"/>
    <w:qFormat/>
    <w:pPr>
      <w:widowControl w:val="0"/>
      <w:suppressAutoHyphens w:val="0"/>
      <w:autoSpaceDE w:val="0"/>
      <w:ind w:left="232" w:firstLine="708"/>
    </w:pPr>
    <w:rPr>
      <w:sz w:val="22"/>
      <w:szCs w:val="22"/>
    </w:rPr>
  </w:style>
  <w:style w:type="paragraph" w:customStyle="1" w:styleId="tactin">
    <w:name w:val="tactin"/>
    <w:basedOn w:val="Normal"/>
    <w:qFormat/>
    <w:pPr>
      <w:suppressAutoHyphens w:val="0"/>
      <w:spacing w:before="280" w:after="280"/>
      <w:ind w:firstLine="0"/>
      <w:jc w:val="left"/>
    </w:pPr>
    <w:rPr>
      <w:szCs w:val="24"/>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
   <Relationship Id="rId1" Target="numbering.xml"
                 Type="http://schemas.openxmlformats.org/officeDocument/2006/relationships/numbering"/>
   <Relationship Id="rId10" Target="header3.xml"
                 Type="http://schemas.openxmlformats.org/officeDocument/2006/relationships/header"/>
   <Relationship Id="rId11" Target="header4.xml"
                 Type="http://schemas.openxmlformats.org/officeDocument/2006/relationships/header"/>
   <Relationship Id="rId12" Target="header5.xml"
                 Type="http://schemas.openxmlformats.org/officeDocument/2006/relationships/header"/>
   <Relationship Id="rId13" Target="header6.xml"
                 Type="http://schemas.openxmlformats.org/officeDocument/2006/relationships/header"/>
   <Relationship Id="rId14" Target="fontTable.xml"
                 Type="http://schemas.openxmlformats.org/officeDocument/2006/relationships/fontTable"/>
   <Relationship Id="rId15" Target="theme/theme1.xml"
                 Type="http://schemas.openxmlformats.org/officeDocument/2006/relationships/theme"/>
   <Relationship Id="rId2" Target="styles.xml"
                 Type="http://schemas.openxmlformats.org/officeDocument/2006/relationships/styles"/>
   <Relationship Id="rId3" Target="settings.xml"
                 Type="http://schemas.openxmlformats.org/officeDocument/2006/relationships/settings"/>
   <Relationship Id="rId4" Target="webSettings.xml"
                 Type="http://schemas.openxmlformats.org/officeDocument/2006/relationships/webSettings"/>
   <Relationship Id="rId5" Target="footnotes.xml"
                 Type="http://schemas.openxmlformats.org/officeDocument/2006/relationships/footnotes"/>
   <Relationship Id="rId6" Target="endnotes.xml"
                 Type="http://schemas.openxmlformats.org/officeDocument/2006/relationships/endnotes"/>
   <Relationship Id="rId7" Target="media/image1.png"
                 Type="http://schemas.openxmlformats.org/officeDocument/2006/relationships/image"/>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10748</Words>
  <Characters>6127</Characters>
  <Application>Microsoft Office Word</Application>
  <DocSecurity>8</DocSecurity>
  <Lines>51</Lines>
  <Paragraphs>33</Paragraphs>
  <ScaleCrop>false</ScaleCrop>
  <Company>KPC</Company>
  <LinksUpToDate>false</LinksUpToDate>
  <CharactersWithSpaces>16842</CharactersWithSpaces>
  <SharedDoc>false</SharedDoc>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2024-01-25T13:21:00Z</dcterms:created>
  <dc:creator>Inga Steponavičienė</dc:creator>
  <dc:language>lt-LT</dc:language>
  <cp:lastModifiedBy>Lina Rušinė</cp:lastModifiedBy>
  <cp:lastPrinted>2024-01-18T18:12:00Z</cp:lastPrinted>
  <dcterms:modified xsi:type="dcterms:W3CDTF">2024-01-25T13:21:00Z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y fmtid="{D5CDD505-2E9C-101B-9397-08002B2CF9AE}" pid="6" name="SharedWithUsers">
    <vt:lpwstr>55;#Iveta Paludnevičiūtė;#41;#Ričardas Valančiauskas;#69;#Aurelija Ylė;#116;#Vaidotas Rudokas;#120;#Gina Jaugielavičienė;#114;#Aurimas Antanaitis;#10;#Inga Steponavičienė;#189;#Aušra Kemežaitė;#13;#Eglė Samsonovienė;#73;#Lidija Bajarūnienė;#172;#Inga Nork</vt:lpwstr>
  </property>
  <property fmtid="{D5CDD505-2E9C-101B-9397-08002B2CF9AE}" pid="7" name="TaxCatchAll">
    <vt:lpwstr/>
  </property>
  <property fmtid="{D5CDD505-2E9C-101B-9397-08002B2CF9AE}" pid="8" name="display_urn:schemas-microsoft-com:office:office#SharedWithUsers">
    <vt:lpwstr>Iveta Paludnevičiūtė;Ričardas Valančiauskas;Aurelija Ylė;Vaidotas Rudokas;Gina Jaugielavičienė;Aurimas Antanaitis;Inga Steponavičienė;Aušra Kemežaitė;Eglė Samsonovienė;Lidija Bajarūnienė;Inga Norkūnė;Jurgita Klusevičiūtė;Aurelija Savičiūtė;Jurgita Gutkaus</vt:lpwstr>
  </property>
  <property fmtid="{D5CDD505-2E9C-101B-9397-08002B2CF9AE}" pid="9" name="lcf76f155ced4ddcb4097134ff3c332f">
    <vt:lpwstr/>
  </property>
</Properties>
</file>